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090B" w14:textId="77777777" w:rsidR="00F02CED" w:rsidRDefault="00F02CED" w:rsidP="00F02CED">
      <w:pPr>
        <w:pStyle w:val="RCNormal"/>
        <w:rPr>
          <w:b/>
          <w:bCs/>
        </w:rPr>
      </w:pPr>
    </w:p>
    <w:p w14:paraId="0471AB98" w14:textId="6A84E714" w:rsidR="00F02CED" w:rsidRDefault="00F02CED" w:rsidP="00F02CED">
      <w:pPr>
        <w:pStyle w:val="RCNormal"/>
        <w:rPr>
          <w:b/>
          <w:bCs/>
        </w:rPr>
      </w:pPr>
      <w:r w:rsidRPr="00F02CED">
        <w:rPr>
          <w:b/>
          <w:bCs/>
        </w:rPr>
        <w:t>Alan Langleben Memorial Competition</w:t>
      </w:r>
    </w:p>
    <w:p w14:paraId="372F6426" w14:textId="7105C684" w:rsidR="00F02CED" w:rsidRPr="00F02CED" w:rsidRDefault="00F02CED" w:rsidP="00F02CED">
      <w:pPr>
        <w:pStyle w:val="RCNormal"/>
      </w:pPr>
      <w:r w:rsidRPr="00F02CED">
        <w:t>“The PLA celebrates its 30th anniversary this year. The world of property litigation has changed hugely during that time but if you could pick one legal development (whether case law, legislation or something else) from the last 30 years which has most impacted property law, what would it be and why?” (</w:t>
      </w:r>
      <w:proofErr w:type="gramStart"/>
      <w:r w:rsidRPr="00F02CED">
        <w:t>500 word</w:t>
      </w:r>
      <w:proofErr w:type="gramEnd"/>
      <w:r w:rsidRPr="00F02CED">
        <w:t xml:space="preserve"> limit)</w:t>
      </w:r>
    </w:p>
    <w:p w14:paraId="1B923D51" w14:textId="7ADE2A03" w:rsidR="00DC2DAD" w:rsidRPr="00DC2DAD" w:rsidRDefault="00DC2DAD" w:rsidP="00DC2DAD">
      <w:pPr>
        <w:pStyle w:val="RCNormal"/>
      </w:pPr>
      <w:r w:rsidRPr="00DC2DAD">
        <w:t>The event that has most profoundly reshaped property law in the past 30 years was undoubtedly the Grenfell Tower fire of 14 June 2017, in which 72 people tragically lost their lives. The fire, and the subsequent Grenfell Tower Inquiry, exposed systemic regulatory, legal, and ethical failings permeating the construction industry</w:t>
      </w:r>
      <w:r w:rsidR="00BF1A09">
        <w:t xml:space="preserve"> and beyond</w:t>
      </w:r>
      <w:r w:rsidRPr="00DC2DAD">
        <w:t>. These shortcomings prompted wide-ranging reforms, reflected most significantly in the Building Safety Act 2022 (BSA 2022).</w:t>
      </w:r>
    </w:p>
    <w:p w14:paraId="719D7BDC" w14:textId="77777777" w:rsidR="003E43D2" w:rsidRDefault="00DC2DAD" w:rsidP="00DC2DAD">
      <w:pPr>
        <w:pStyle w:val="RCNormal"/>
      </w:pPr>
      <w:r w:rsidRPr="00DC2DAD">
        <w:t xml:space="preserve">Prior to </w:t>
      </w:r>
      <w:r>
        <w:t>the fire</w:t>
      </w:r>
      <w:r w:rsidRPr="00DC2DAD">
        <w:t xml:space="preserve">, building safety </w:t>
      </w:r>
      <w:r w:rsidR="00BF1A09">
        <w:t>was a relatively</w:t>
      </w:r>
      <w:r w:rsidRPr="00DC2DAD">
        <w:t xml:space="preserve"> niche technical compliance matter, largely disconnected from mainstream property disputes. In the aftermath, however,</w:t>
      </w:r>
      <w:r>
        <w:t xml:space="preserve"> the BSA 2022 was rushed to the statute book</w:t>
      </w:r>
      <w:r w:rsidR="00BF1A09">
        <w:t xml:space="preserve">, property owners </w:t>
      </w:r>
      <w:r w:rsidR="00596187">
        <w:t>hurried</w:t>
      </w:r>
      <w:r w:rsidR="00BF1A09">
        <w:t xml:space="preserve"> to ensure their buildings were safe</w:t>
      </w:r>
      <w:r w:rsidR="00596187">
        <w:t xml:space="preserve"> and the government pledged over £5 billion to fund remediation. </w:t>
      </w:r>
    </w:p>
    <w:p w14:paraId="5CBA39F3" w14:textId="77777777" w:rsidR="003E43D2" w:rsidRDefault="00BF1A09" w:rsidP="00DC2DAD">
      <w:pPr>
        <w:pStyle w:val="RCNormal"/>
      </w:pPr>
      <w:r>
        <w:t>T</w:t>
      </w:r>
      <w:r w:rsidR="00DC2DAD" w:rsidRPr="00DC2DAD">
        <w:t>he catastrophe brought into sharp focus the complexity of responsibility within multi-layered ownership structures and the acute vulnerability of leaseholders caught at the centre of the crisis</w:t>
      </w:r>
      <w:r w:rsidR="00DC2DAD">
        <w:t xml:space="preserve">, scrambling for justice. </w:t>
      </w:r>
    </w:p>
    <w:p w14:paraId="54470D03" w14:textId="0ABBABCB" w:rsidR="00DC2DAD" w:rsidRPr="00DC2DAD" w:rsidRDefault="00BF1A09" w:rsidP="00DC2DAD">
      <w:pPr>
        <w:pStyle w:val="RCNormal"/>
      </w:pPr>
      <w:r>
        <w:t>The BSA 2022 took property lawyers into a brave new world.</w:t>
      </w:r>
    </w:p>
    <w:p w14:paraId="6EA2F1B5" w14:textId="78CB1BB4" w:rsidR="00F02CED" w:rsidRDefault="00DC2DAD" w:rsidP="00F02CED">
      <w:pPr>
        <w:pStyle w:val="RCNormal"/>
      </w:pPr>
      <w:r>
        <w:t>The impact of the BSA 2022</w:t>
      </w:r>
      <w:r w:rsidR="00F02CED">
        <w:t xml:space="preserve"> can be grouped into three </w:t>
      </w:r>
      <w:r>
        <w:t>areas</w:t>
      </w:r>
      <w:r w:rsidR="00F02CED">
        <w:t>: responsibility, remedies and risk.</w:t>
      </w:r>
    </w:p>
    <w:p w14:paraId="631BE8B4" w14:textId="278A3D6B" w:rsidR="00F02CED" w:rsidRDefault="00F02CED" w:rsidP="00F02CED">
      <w:pPr>
        <w:pStyle w:val="RCNormal"/>
      </w:pPr>
      <w:r>
        <w:t>First, responsibility. The BSA 2022 imposed a new accountability framework unprecedented in its reach. The creation of the Building Safety Regulator, the introduction of accountable persons and principal accountable persons, and new duties throughout a building’s life cycle have fundamentally altered the obligations attaching to ownership and management of higher-risk buildings. Issues once considered operational or contractual have become statutory. This has blurred boundaries between landlord, developer, managing agent and contractor</w:t>
      </w:r>
      <w:r w:rsidR="003E43D2">
        <w:t xml:space="preserve"> </w:t>
      </w:r>
      <w:r>
        <w:t>fuelling a new wave of disputes over who bears what responsibility, and when.</w:t>
      </w:r>
    </w:p>
    <w:p w14:paraId="654435C7" w14:textId="026A846B" w:rsidR="00F02CED" w:rsidRDefault="00F02CED" w:rsidP="00F02CED">
      <w:pPr>
        <w:pStyle w:val="RCNormal"/>
      </w:pPr>
      <w:r>
        <w:t>Second, remedies. The extension of limitation periods—most strikingly the 30-year retrospective period for defective dwellings—has reopened claims once thought long time-barred. For litigators, this has created a challenging but vital new area of work</w:t>
      </w:r>
      <w:r w:rsidR="003E43D2">
        <w:t>.</w:t>
      </w:r>
      <w:r>
        <w:t xml:space="preserve"> Combined with the Act’s new cost protections for leaseholders and the prohibition on charging them for certain remediation expenses, the balance of power in residential building defect disputes has shifted significantly. Landlords, developers and associated entities now face enhanced exposure</w:t>
      </w:r>
      <w:r w:rsidR="003E43D2">
        <w:t xml:space="preserve"> </w:t>
      </w:r>
      <w:r>
        <w:t>and pressure</w:t>
      </w:r>
      <w:r w:rsidR="003E43D2">
        <w:t xml:space="preserve"> </w:t>
      </w:r>
      <w:r>
        <w:t>to fund remediation or pursue those who may ultimately be liable.</w:t>
      </w:r>
    </w:p>
    <w:p w14:paraId="45396B82" w14:textId="422615D0" w:rsidR="00F02CED" w:rsidRDefault="00F02CED" w:rsidP="00F02CED">
      <w:pPr>
        <w:pStyle w:val="RCNormal"/>
      </w:pPr>
      <w:r>
        <w:t>Third, risk. The Act has reshaped the transactional landscape. Due diligence, warranties, indemnities and funding arrangements must now grapple with regulatory gateways, safety case reports, building assessment certificates and an evolving enforcement regime. Real estate transactions are now layered with a level of regulatory complexity</w:t>
      </w:r>
      <w:r w:rsidR="003E43D2">
        <w:t xml:space="preserve"> </w:t>
      </w:r>
      <w:r>
        <w:t>and potential liability</w:t>
      </w:r>
      <w:r w:rsidR="003E43D2">
        <w:t xml:space="preserve"> </w:t>
      </w:r>
      <w:r>
        <w:t>that would have been unimaginable thirty years ago.</w:t>
      </w:r>
    </w:p>
    <w:p w14:paraId="46DE32F1" w14:textId="756D5E76" w:rsidR="00F02CED" w:rsidRDefault="00F02CED" w:rsidP="00F02CED">
      <w:pPr>
        <w:pStyle w:val="RCNormal"/>
      </w:pPr>
      <w:r>
        <w:t xml:space="preserve">The </w:t>
      </w:r>
      <w:r w:rsidR="00BF1A09">
        <w:t xml:space="preserve">Grenfell Tower fire and the </w:t>
      </w:r>
      <w:r>
        <w:t xml:space="preserve">BSA 2022 moved building safety from a compliance issue to the centre of property law. No single development in the last three decades has been more far-reaching or more fundamentally transformative. </w:t>
      </w:r>
      <w:r w:rsidR="00BF1A09" w:rsidRPr="00BF1A09">
        <w:t xml:space="preserve">What’s more, the legacy of the Grenfell Tower fire—and the </w:t>
      </w:r>
      <w:r w:rsidR="00BF1A09">
        <w:t>legal consequences</w:t>
      </w:r>
      <w:r w:rsidR="00BF1A09" w:rsidRPr="00BF1A09">
        <w:t xml:space="preserve"> of the BSA 2022—</w:t>
      </w:r>
      <w:r w:rsidR="00BF1A09">
        <w:t>are still far from being realised.</w:t>
      </w:r>
    </w:p>
    <w:p w14:paraId="5ACC4086" w14:textId="2C1E31A2" w:rsidR="00596187" w:rsidRPr="00596187" w:rsidRDefault="00596187" w:rsidP="00F96349">
      <w:pPr>
        <w:pStyle w:val="RCNormal"/>
      </w:pPr>
      <w:r w:rsidRPr="00596187">
        <w:t>(4</w:t>
      </w:r>
      <w:r w:rsidR="003E43D2">
        <w:t>66</w:t>
      </w:r>
      <w:r w:rsidRPr="00596187">
        <w:t xml:space="preserve"> words)</w:t>
      </w:r>
    </w:p>
    <w:p w14:paraId="4E6C20C7" w14:textId="3AE3933B" w:rsidR="00596187" w:rsidRPr="00596187" w:rsidRDefault="00DC2DAD" w:rsidP="00F96349">
      <w:pPr>
        <w:pStyle w:val="RCNormal"/>
        <w:rPr>
          <w:b/>
          <w:bCs/>
        </w:rPr>
      </w:pPr>
      <w:r w:rsidRPr="00596187">
        <w:rPr>
          <w:b/>
          <w:bCs/>
        </w:rPr>
        <w:t>Tom Hopkins</w:t>
      </w:r>
      <w:r w:rsidR="000128E2">
        <w:rPr>
          <w:b/>
          <w:bCs/>
        </w:rPr>
        <w:t xml:space="preserve"> </w:t>
      </w:r>
      <w:r w:rsidR="00596187">
        <w:rPr>
          <w:b/>
          <w:bCs/>
        </w:rPr>
        <w:t>Russell-Cooke LLP</w:t>
      </w:r>
    </w:p>
    <w:sectPr w:rsidR="00596187" w:rsidRPr="00596187" w:rsidSect="000128E2">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20B9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E405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6481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96E4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36FA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CED1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E29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7C60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42B0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02EC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C37D5"/>
    <w:multiLevelType w:val="multilevel"/>
    <w:tmpl w:val="8D5EEB1A"/>
    <w:lvl w:ilvl="0">
      <w:start w:val="1"/>
      <w:numFmt w:val="decimal"/>
      <w:pStyle w:val="RCParties"/>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D619CF"/>
    <w:multiLevelType w:val="multilevel"/>
    <w:tmpl w:val="29368846"/>
    <w:lvl w:ilvl="0">
      <w:start w:val="1"/>
      <w:numFmt w:val="upperLetter"/>
      <w:pStyle w:val="RCBack"/>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554F4"/>
    <w:multiLevelType w:val="multilevel"/>
    <w:tmpl w:val="B434B1B2"/>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440" w:hanging="720"/>
      </w:pPr>
      <w:rPr>
        <w:rFonts w:hint="default"/>
      </w:rPr>
    </w:lvl>
    <w:lvl w:ilvl="3">
      <w:start w:val="1"/>
      <w:numFmt w:val="lowerLetter"/>
      <w:pStyle w:val="Heading4"/>
      <w:lvlText w:val="(%4)"/>
      <w:lvlJc w:val="left"/>
      <w:pPr>
        <w:ind w:left="1440" w:hanging="720"/>
      </w:pPr>
      <w:rPr>
        <w:rFonts w:hint="default"/>
      </w:rPr>
    </w:lvl>
    <w:lvl w:ilvl="4">
      <w:start w:val="1"/>
      <w:numFmt w:val="lowerRoman"/>
      <w:pStyle w:val="Heading5"/>
      <w:lvlText w:val="(%5)"/>
      <w:lvlJc w:val="left"/>
      <w:pPr>
        <w:ind w:left="2160" w:hanging="72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5306EEE"/>
    <w:multiLevelType w:val="multilevel"/>
    <w:tmpl w:val="2348FDB0"/>
    <w:lvl w:ilvl="0">
      <w:start w:val="1"/>
      <w:numFmt w:val="decimal"/>
      <w:pStyle w:val="RCSched"/>
      <w:suff w:val="nothing"/>
      <w:lvlText w:val="Schedule %1"/>
      <w:lvlJc w:val="left"/>
      <w:pPr>
        <w:ind w:left="0" w:firstLine="0"/>
      </w:pPr>
      <w:rPr>
        <w:rFonts w:hint="default"/>
        <w:b/>
        <w:i w:val="0"/>
        <w:caps/>
      </w:rPr>
    </w:lvl>
    <w:lvl w:ilvl="1">
      <w:start w:val="1"/>
      <w:numFmt w:val="decimal"/>
      <w:pStyle w:val="RCSty21"/>
      <w:lvlText w:val="%2."/>
      <w:lvlJc w:val="left"/>
      <w:pPr>
        <w:ind w:left="720" w:hanging="720"/>
      </w:pPr>
      <w:rPr>
        <w:rFonts w:hint="default"/>
      </w:rPr>
    </w:lvl>
    <w:lvl w:ilvl="2">
      <w:start w:val="1"/>
      <w:numFmt w:val="decimal"/>
      <w:pStyle w:val="RCSty22"/>
      <w:lvlText w:val="%2.%3"/>
      <w:lvlJc w:val="left"/>
      <w:pPr>
        <w:ind w:left="720" w:hanging="720"/>
      </w:pPr>
      <w:rPr>
        <w:rFonts w:hint="default"/>
      </w:rPr>
    </w:lvl>
    <w:lvl w:ilvl="3">
      <w:start w:val="1"/>
      <w:numFmt w:val="decimal"/>
      <w:pStyle w:val="RCSty23"/>
      <w:lvlText w:val="%2.%3.%4"/>
      <w:lvlJc w:val="left"/>
      <w:pPr>
        <w:ind w:left="1440" w:hanging="720"/>
      </w:pPr>
      <w:rPr>
        <w:rFonts w:hint="default"/>
      </w:rPr>
    </w:lvl>
    <w:lvl w:ilvl="4">
      <w:start w:val="1"/>
      <w:numFmt w:val="lowerLetter"/>
      <w:pStyle w:val="RCSty24"/>
      <w:lvlText w:val="(%5)"/>
      <w:lvlJc w:val="left"/>
      <w:pPr>
        <w:ind w:left="1440" w:hanging="720"/>
      </w:pPr>
      <w:rPr>
        <w:rFonts w:hint="default"/>
      </w:rPr>
    </w:lvl>
    <w:lvl w:ilvl="5">
      <w:start w:val="1"/>
      <w:numFmt w:val="lowerRoman"/>
      <w:pStyle w:val="RCSty25"/>
      <w:lvlText w:val="(%6)"/>
      <w:lvlJc w:val="left"/>
      <w:pPr>
        <w:ind w:left="2160" w:hanging="720"/>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292A63C6"/>
    <w:multiLevelType w:val="multilevel"/>
    <w:tmpl w:val="5EEAC8C2"/>
    <w:lvl w:ilvl="0">
      <w:start w:val="1"/>
      <w:numFmt w:val="upperLetter"/>
      <w:pStyle w:val="RCSection"/>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4F4D12"/>
    <w:multiLevelType w:val="multilevel"/>
    <w:tmpl w:val="01927A2C"/>
    <w:lvl w:ilvl="0">
      <w:start w:val="1"/>
      <w:numFmt w:val="decimal"/>
      <w:suff w:val="nothing"/>
      <w:lvlText w:val="Schedule %1"/>
      <w:lvlJc w:val="left"/>
      <w:pPr>
        <w:ind w:left="0" w:firstLine="0"/>
      </w:pPr>
      <w:rPr>
        <w:rFonts w:hint="default"/>
        <w:b/>
        <w:i w:val="0"/>
        <w:caps/>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15:restartNumberingAfterBreak="0">
    <w:nsid w:val="6BF56A7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DF77689"/>
    <w:multiLevelType w:val="multilevel"/>
    <w:tmpl w:val="3D16D04E"/>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835"/>
        </w:tabs>
        <w:ind w:left="2835" w:hanging="567"/>
      </w:pPr>
      <w:rPr>
        <w:rFonts w:ascii="Arial" w:hAnsi="Arial" w:hint="default"/>
        <w:b w:val="0"/>
        <w:i w:val="0"/>
        <w:sz w:val="22"/>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667826770">
    <w:abstractNumId w:val="12"/>
  </w:num>
  <w:num w:numId="2" w16cid:durableId="1029525855">
    <w:abstractNumId w:val="16"/>
  </w:num>
  <w:num w:numId="3" w16cid:durableId="993801928">
    <w:abstractNumId w:val="15"/>
  </w:num>
  <w:num w:numId="4" w16cid:durableId="1248462079">
    <w:abstractNumId w:val="9"/>
  </w:num>
  <w:num w:numId="5" w16cid:durableId="1667435916">
    <w:abstractNumId w:val="7"/>
  </w:num>
  <w:num w:numId="6" w16cid:durableId="1180702167">
    <w:abstractNumId w:val="6"/>
  </w:num>
  <w:num w:numId="7" w16cid:durableId="315645744">
    <w:abstractNumId w:val="5"/>
  </w:num>
  <w:num w:numId="8" w16cid:durableId="2115977334">
    <w:abstractNumId w:val="4"/>
  </w:num>
  <w:num w:numId="9" w16cid:durableId="662195770">
    <w:abstractNumId w:val="8"/>
  </w:num>
  <w:num w:numId="10" w16cid:durableId="152334598">
    <w:abstractNumId w:val="3"/>
  </w:num>
  <w:num w:numId="11" w16cid:durableId="1965497393">
    <w:abstractNumId w:val="2"/>
  </w:num>
  <w:num w:numId="12" w16cid:durableId="970091145">
    <w:abstractNumId w:val="1"/>
  </w:num>
  <w:num w:numId="13" w16cid:durableId="369574996">
    <w:abstractNumId w:val="0"/>
  </w:num>
  <w:num w:numId="14" w16cid:durableId="1861117609">
    <w:abstractNumId w:val="17"/>
  </w:num>
  <w:num w:numId="15" w16cid:durableId="1311443257">
    <w:abstractNumId w:val="13"/>
  </w:num>
  <w:num w:numId="16" w16cid:durableId="1481655015">
    <w:abstractNumId w:val="14"/>
  </w:num>
  <w:num w:numId="17" w16cid:durableId="1399866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9397765">
    <w:abstractNumId w:val="10"/>
  </w:num>
  <w:num w:numId="19" w16cid:durableId="143546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ED"/>
    <w:rsid w:val="000128E2"/>
    <w:rsid w:val="000140DA"/>
    <w:rsid w:val="000176C3"/>
    <w:rsid w:val="0013494B"/>
    <w:rsid w:val="00142D92"/>
    <w:rsid w:val="00156F24"/>
    <w:rsid w:val="00185172"/>
    <w:rsid w:val="00215FA9"/>
    <w:rsid w:val="002333C7"/>
    <w:rsid w:val="002E5A42"/>
    <w:rsid w:val="003E43D2"/>
    <w:rsid w:val="004243B2"/>
    <w:rsid w:val="004C09FB"/>
    <w:rsid w:val="00543E08"/>
    <w:rsid w:val="00596187"/>
    <w:rsid w:val="007422FC"/>
    <w:rsid w:val="007551B8"/>
    <w:rsid w:val="00824E54"/>
    <w:rsid w:val="00825325"/>
    <w:rsid w:val="008C2AFA"/>
    <w:rsid w:val="008D0E56"/>
    <w:rsid w:val="00916B94"/>
    <w:rsid w:val="00B127B1"/>
    <w:rsid w:val="00B55804"/>
    <w:rsid w:val="00B852F1"/>
    <w:rsid w:val="00BF1A09"/>
    <w:rsid w:val="00CF02F6"/>
    <w:rsid w:val="00DC2DAD"/>
    <w:rsid w:val="00F02CED"/>
    <w:rsid w:val="00F11929"/>
    <w:rsid w:val="00F33095"/>
    <w:rsid w:val="00F96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6588"/>
  <w15:docId w15:val="{67A9E1B0-441B-4820-9E22-42AB319A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55804"/>
  </w:style>
  <w:style w:type="paragraph" w:styleId="Heading1">
    <w:name w:val="heading 1"/>
    <w:aliases w:val="(RCSty1_1)"/>
    <w:basedOn w:val="Normal"/>
    <w:next w:val="RCInd1"/>
    <w:link w:val="Heading1Char"/>
    <w:uiPriority w:val="1"/>
    <w:qFormat/>
    <w:rsid w:val="00B127B1"/>
    <w:pPr>
      <w:keepNext/>
      <w:numPr>
        <w:numId w:val="1"/>
      </w:numPr>
      <w:spacing w:after="240" w:line="240" w:lineRule="auto"/>
      <w:outlineLvl w:val="0"/>
    </w:pPr>
    <w:rPr>
      <w:rFonts w:ascii="Arial" w:eastAsiaTheme="majorEastAsia" w:hAnsi="Arial" w:cstheme="majorBidi"/>
      <w:b/>
      <w:bCs/>
      <w:szCs w:val="28"/>
    </w:rPr>
  </w:style>
  <w:style w:type="paragraph" w:styleId="Heading2">
    <w:name w:val="heading 2"/>
    <w:aliases w:val="(RCSty1_2)"/>
    <w:basedOn w:val="Normal"/>
    <w:next w:val="RCInd1"/>
    <w:link w:val="Heading2Char"/>
    <w:uiPriority w:val="1"/>
    <w:qFormat/>
    <w:rsid w:val="0013494B"/>
    <w:pPr>
      <w:numPr>
        <w:ilvl w:val="1"/>
        <w:numId w:val="1"/>
      </w:numPr>
      <w:spacing w:after="240" w:line="240" w:lineRule="auto"/>
      <w:jc w:val="both"/>
      <w:outlineLvl w:val="1"/>
    </w:pPr>
    <w:rPr>
      <w:rFonts w:ascii="Arial" w:eastAsiaTheme="majorEastAsia" w:hAnsi="Arial" w:cstheme="majorBidi"/>
      <w:bCs/>
      <w:szCs w:val="26"/>
    </w:rPr>
  </w:style>
  <w:style w:type="paragraph" w:styleId="Heading3">
    <w:name w:val="heading 3"/>
    <w:aliases w:val="(RCSty1_3)"/>
    <w:basedOn w:val="Normal"/>
    <w:next w:val="RCInd3"/>
    <w:link w:val="Heading3Char"/>
    <w:uiPriority w:val="1"/>
    <w:qFormat/>
    <w:rsid w:val="0013494B"/>
    <w:pPr>
      <w:numPr>
        <w:ilvl w:val="2"/>
        <w:numId w:val="1"/>
      </w:numPr>
      <w:spacing w:after="240" w:line="240" w:lineRule="auto"/>
      <w:ind w:left="1620" w:hanging="900"/>
      <w:jc w:val="both"/>
      <w:outlineLvl w:val="2"/>
    </w:pPr>
    <w:rPr>
      <w:rFonts w:ascii="Arial" w:eastAsiaTheme="majorEastAsia" w:hAnsi="Arial" w:cstheme="majorBidi"/>
      <w:bCs/>
    </w:rPr>
  </w:style>
  <w:style w:type="paragraph" w:styleId="Heading4">
    <w:name w:val="heading 4"/>
    <w:aliases w:val="(RCSty1_4)"/>
    <w:basedOn w:val="Normal"/>
    <w:next w:val="RCInd3"/>
    <w:link w:val="Heading4Char"/>
    <w:uiPriority w:val="1"/>
    <w:qFormat/>
    <w:rsid w:val="0013494B"/>
    <w:pPr>
      <w:numPr>
        <w:ilvl w:val="3"/>
        <w:numId w:val="1"/>
      </w:numPr>
      <w:spacing w:after="240" w:line="240" w:lineRule="auto"/>
      <w:jc w:val="both"/>
      <w:outlineLvl w:val="3"/>
    </w:pPr>
    <w:rPr>
      <w:rFonts w:ascii="Arial" w:eastAsiaTheme="majorEastAsia" w:hAnsi="Arial" w:cstheme="majorBidi"/>
      <w:bCs/>
      <w:iCs/>
    </w:rPr>
  </w:style>
  <w:style w:type="paragraph" w:styleId="Heading5">
    <w:name w:val="heading 5"/>
    <w:aliases w:val="(RCSty1_5)"/>
    <w:basedOn w:val="Normal"/>
    <w:next w:val="RCInd4"/>
    <w:link w:val="Heading5Char"/>
    <w:uiPriority w:val="1"/>
    <w:qFormat/>
    <w:rsid w:val="0013494B"/>
    <w:pPr>
      <w:numPr>
        <w:ilvl w:val="4"/>
        <w:numId w:val="1"/>
      </w:numPr>
      <w:spacing w:after="240" w:line="240" w:lineRule="auto"/>
      <w:jc w:val="both"/>
      <w:outlineLvl w:val="4"/>
    </w:pPr>
    <w:rPr>
      <w:rFonts w:ascii="Arial" w:eastAsiaTheme="majorEastAsia" w:hAnsi="Arial" w:cstheme="majorBidi"/>
    </w:rPr>
  </w:style>
  <w:style w:type="paragraph" w:styleId="Heading6">
    <w:name w:val="heading 6"/>
    <w:basedOn w:val="Normal"/>
    <w:next w:val="Normal"/>
    <w:link w:val="Heading6Char"/>
    <w:uiPriority w:val="9"/>
    <w:semiHidden/>
    <w:qFormat/>
    <w:rsid w:val="002333C7"/>
    <w:pPr>
      <w:keepNext/>
      <w:keepLines/>
      <w:numPr>
        <w:ilvl w:val="5"/>
        <w:numId w:val="1"/>
      </w:numPr>
      <w:spacing w:before="200" w:after="0"/>
      <w:outlineLvl w:val="5"/>
    </w:pPr>
    <w:rPr>
      <w:rFonts w:asciiTheme="majorHAnsi" w:eastAsiaTheme="majorEastAsia" w:hAnsiTheme="majorHAnsi" w:cstheme="majorBidi"/>
      <w:i/>
      <w:iCs/>
      <w:color w:val="253E4F" w:themeColor="accent1" w:themeShade="7F"/>
    </w:rPr>
  </w:style>
  <w:style w:type="paragraph" w:styleId="Heading7">
    <w:name w:val="heading 7"/>
    <w:basedOn w:val="Normal"/>
    <w:next w:val="Normal"/>
    <w:link w:val="Heading7Char"/>
    <w:uiPriority w:val="9"/>
    <w:semiHidden/>
    <w:unhideWhenUsed/>
    <w:qFormat/>
    <w:rsid w:val="002333C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33C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333C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Normal">
    <w:name w:val="RC_Normal"/>
    <w:basedOn w:val="Normal"/>
    <w:qFormat/>
    <w:rsid w:val="002E5A42"/>
    <w:pPr>
      <w:spacing w:after="240" w:line="240" w:lineRule="auto"/>
      <w:jc w:val="both"/>
    </w:pPr>
    <w:rPr>
      <w:rFonts w:ascii="Arial" w:hAnsi="Arial" w:cs="Arial"/>
    </w:rPr>
  </w:style>
  <w:style w:type="character" w:customStyle="1" w:styleId="Heading1Char">
    <w:name w:val="Heading 1 Char"/>
    <w:aliases w:val="(RCSty1_1) Char"/>
    <w:basedOn w:val="DefaultParagraphFont"/>
    <w:link w:val="Heading1"/>
    <w:uiPriority w:val="1"/>
    <w:rsid w:val="00B55804"/>
    <w:rPr>
      <w:rFonts w:ascii="Arial" w:eastAsiaTheme="majorEastAsia" w:hAnsi="Arial" w:cstheme="majorBidi"/>
      <w:b/>
      <w:bCs/>
      <w:szCs w:val="28"/>
    </w:rPr>
  </w:style>
  <w:style w:type="paragraph" w:customStyle="1" w:styleId="RCInd1">
    <w:name w:val="RCInd_1"/>
    <w:basedOn w:val="RCNormal"/>
    <w:uiPriority w:val="4"/>
    <w:qFormat/>
    <w:rsid w:val="002E5A42"/>
    <w:pPr>
      <w:ind w:left="720"/>
    </w:pPr>
  </w:style>
  <w:style w:type="paragraph" w:customStyle="1" w:styleId="RCInd2">
    <w:name w:val="RCInd_2"/>
    <w:basedOn w:val="RCNormal"/>
    <w:uiPriority w:val="4"/>
    <w:qFormat/>
    <w:rsid w:val="002E5A42"/>
    <w:pPr>
      <w:ind w:left="1440"/>
    </w:pPr>
  </w:style>
  <w:style w:type="paragraph" w:customStyle="1" w:styleId="RCInd3">
    <w:name w:val="RCInd_3"/>
    <w:basedOn w:val="RCNormal"/>
    <w:uiPriority w:val="4"/>
    <w:qFormat/>
    <w:rsid w:val="00156F24"/>
    <w:pPr>
      <w:ind w:left="1701"/>
    </w:pPr>
  </w:style>
  <w:style w:type="paragraph" w:customStyle="1" w:styleId="RCInd4">
    <w:name w:val="RCInd_4"/>
    <w:basedOn w:val="RCNormal"/>
    <w:uiPriority w:val="4"/>
    <w:qFormat/>
    <w:rsid w:val="00156F24"/>
    <w:pPr>
      <w:ind w:left="2835"/>
    </w:pPr>
  </w:style>
  <w:style w:type="character" w:customStyle="1" w:styleId="Heading2Char">
    <w:name w:val="Heading 2 Char"/>
    <w:aliases w:val="(RCSty1_2) Char"/>
    <w:basedOn w:val="DefaultParagraphFont"/>
    <w:link w:val="Heading2"/>
    <w:uiPriority w:val="1"/>
    <w:rsid w:val="0013494B"/>
    <w:rPr>
      <w:rFonts w:ascii="Arial" w:eastAsiaTheme="majorEastAsia" w:hAnsi="Arial" w:cstheme="majorBidi"/>
      <w:bCs/>
      <w:szCs w:val="26"/>
    </w:rPr>
  </w:style>
  <w:style w:type="character" w:customStyle="1" w:styleId="Heading3Char">
    <w:name w:val="Heading 3 Char"/>
    <w:aliases w:val="(RCSty1_3) Char"/>
    <w:basedOn w:val="DefaultParagraphFont"/>
    <w:link w:val="Heading3"/>
    <w:uiPriority w:val="1"/>
    <w:rsid w:val="0013494B"/>
    <w:rPr>
      <w:rFonts w:ascii="Arial" w:eastAsiaTheme="majorEastAsia" w:hAnsi="Arial" w:cstheme="majorBidi"/>
      <w:bCs/>
    </w:rPr>
  </w:style>
  <w:style w:type="character" w:customStyle="1" w:styleId="Heading4Char">
    <w:name w:val="Heading 4 Char"/>
    <w:aliases w:val="(RCSty1_4) Char"/>
    <w:basedOn w:val="DefaultParagraphFont"/>
    <w:link w:val="Heading4"/>
    <w:uiPriority w:val="1"/>
    <w:rsid w:val="0013494B"/>
    <w:rPr>
      <w:rFonts w:ascii="Arial" w:eastAsiaTheme="majorEastAsia" w:hAnsi="Arial" w:cstheme="majorBidi"/>
      <w:bCs/>
      <w:iCs/>
    </w:rPr>
  </w:style>
  <w:style w:type="character" w:customStyle="1" w:styleId="Heading5Char">
    <w:name w:val="Heading 5 Char"/>
    <w:aliases w:val="(RCSty1_5) Char"/>
    <w:basedOn w:val="DefaultParagraphFont"/>
    <w:link w:val="Heading5"/>
    <w:uiPriority w:val="1"/>
    <w:rsid w:val="0013494B"/>
    <w:rPr>
      <w:rFonts w:ascii="Arial" w:eastAsiaTheme="majorEastAsia" w:hAnsi="Arial" w:cstheme="majorBidi"/>
    </w:rPr>
  </w:style>
  <w:style w:type="character" w:customStyle="1" w:styleId="Heading6Char">
    <w:name w:val="Heading 6 Char"/>
    <w:basedOn w:val="DefaultParagraphFont"/>
    <w:link w:val="Heading6"/>
    <w:uiPriority w:val="9"/>
    <w:semiHidden/>
    <w:rsid w:val="00B55804"/>
    <w:rPr>
      <w:rFonts w:asciiTheme="majorHAnsi" w:eastAsiaTheme="majorEastAsia" w:hAnsiTheme="majorHAnsi" w:cstheme="majorBidi"/>
      <w:i/>
      <w:iCs/>
      <w:color w:val="253E4F" w:themeColor="accent1" w:themeShade="7F"/>
    </w:rPr>
  </w:style>
  <w:style w:type="character" w:customStyle="1" w:styleId="Heading7Char">
    <w:name w:val="Heading 7 Char"/>
    <w:basedOn w:val="DefaultParagraphFont"/>
    <w:link w:val="Heading7"/>
    <w:uiPriority w:val="9"/>
    <w:semiHidden/>
    <w:rsid w:val="002333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33C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33C7"/>
    <w:rPr>
      <w:rFonts w:asciiTheme="majorHAnsi" w:eastAsiaTheme="majorEastAsia" w:hAnsiTheme="majorHAnsi" w:cstheme="majorBidi"/>
      <w:i/>
      <w:iCs/>
      <w:color w:val="404040" w:themeColor="text1" w:themeTint="BF"/>
      <w:sz w:val="20"/>
      <w:szCs w:val="20"/>
    </w:rPr>
  </w:style>
  <w:style w:type="paragraph" w:customStyle="1" w:styleId="RCSched">
    <w:name w:val="RCSched"/>
    <w:basedOn w:val="RCNormal"/>
    <w:next w:val="RCNormal"/>
    <w:uiPriority w:val="2"/>
    <w:qFormat/>
    <w:rsid w:val="002333C7"/>
    <w:pPr>
      <w:pageBreakBefore/>
      <w:numPr>
        <w:numId w:val="15"/>
      </w:numPr>
      <w:jc w:val="center"/>
    </w:pPr>
    <w:rPr>
      <w:b/>
    </w:rPr>
  </w:style>
  <w:style w:type="paragraph" w:customStyle="1" w:styleId="RCSty21">
    <w:name w:val="RCSty2_1"/>
    <w:basedOn w:val="RCNormal"/>
    <w:next w:val="RCInd1"/>
    <w:uiPriority w:val="2"/>
    <w:qFormat/>
    <w:rsid w:val="00CF02F6"/>
    <w:pPr>
      <w:numPr>
        <w:ilvl w:val="1"/>
        <w:numId w:val="15"/>
      </w:numPr>
    </w:pPr>
  </w:style>
  <w:style w:type="paragraph" w:customStyle="1" w:styleId="RCSty22">
    <w:name w:val="RCSty2_2"/>
    <w:basedOn w:val="RCNormal"/>
    <w:next w:val="RCInd1"/>
    <w:uiPriority w:val="2"/>
    <w:qFormat/>
    <w:rsid w:val="00CF02F6"/>
    <w:pPr>
      <w:numPr>
        <w:ilvl w:val="2"/>
        <w:numId w:val="15"/>
      </w:numPr>
    </w:pPr>
  </w:style>
  <w:style w:type="paragraph" w:customStyle="1" w:styleId="RCSty23">
    <w:name w:val="RCSty2_3"/>
    <w:basedOn w:val="RCNormal"/>
    <w:next w:val="RCInd2"/>
    <w:uiPriority w:val="2"/>
    <w:qFormat/>
    <w:rsid w:val="00CF02F6"/>
    <w:pPr>
      <w:numPr>
        <w:ilvl w:val="3"/>
        <w:numId w:val="15"/>
      </w:numPr>
    </w:pPr>
  </w:style>
  <w:style w:type="paragraph" w:customStyle="1" w:styleId="RCSty24">
    <w:name w:val="RCSty2_4"/>
    <w:basedOn w:val="RCNormal"/>
    <w:next w:val="RCInd3"/>
    <w:uiPriority w:val="2"/>
    <w:qFormat/>
    <w:rsid w:val="00CF02F6"/>
    <w:pPr>
      <w:numPr>
        <w:ilvl w:val="4"/>
        <w:numId w:val="15"/>
      </w:numPr>
    </w:pPr>
  </w:style>
  <w:style w:type="paragraph" w:customStyle="1" w:styleId="RCSty25">
    <w:name w:val="RCSty2_5"/>
    <w:basedOn w:val="RCNormal"/>
    <w:next w:val="RCInd4"/>
    <w:uiPriority w:val="2"/>
    <w:qFormat/>
    <w:rsid w:val="00CF02F6"/>
    <w:pPr>
      <w:numPr>
        <w:ilvl w:val="5"/>
        <w:numId w:val="15"/>
      </w:numPr>
    </w:pPr>
  </w:style>
  <w:style w:type="paragraph" w:customStyle="1" w:styleId="RCHead">
    <w:name w:val="RCHead"/>
    <w:basedOn w:val="RCNormal"/>
    <w:next w:val="RCNormal"/>
    <w:qFormat/>
    <w:rsid w:val="007422FC"/>
    <w:pPr>
      <w:keepNext/>
    </w:pPr>
    <w:rPr>
      <w:b/>
    </w:rPr>
  </w:style>
  <w:style w:type="paragraph" w:customStyle="1" w:styleId="RCSection">
    <w:name w:val="RCSection"/>
    <w:basedOn w:val="RCNormal"/>
    <w:next w:val="RCNormal"/>
    <w:uiPriority w:val="3"/>
    <w:qFormat/>
    <w:rsid w:val="007422FC"/>
    <w:pPr>
      <w:keepNext/>
      <w:numPr>
        <w:numId w:val="16"/>
      </w:numPr>
    </w:pPr>
    <w:rPr>
      <w:b/>
    </w:rPr>
  </w:style>
  <w:style w:type="paragraph" w:customStyle="1" w:styleId="RCParties">
    <w:name w:val="RC_Parties"/>
    <w:basedOn w:val="RCNormal"/>
    <w:uiPriority w:val="5"/>
    <w:qFormat/>
    <w:rsid w:val="007422FC"/>
    <w:pPr>
      <w:numPr>
        <w:numId w:val="18"/>
      </w:numPr>
    </w:pPr>
  </w:style>
  <w:style w:type="paragraph" w:customStyle="1" w:styleId="RCBack">
    <w:name w:val="RC_Back"/>
    <w:basedOn w:val="RCNormal"/>
    <w:uiPriority w:val="6"/>
    <w:qFormat/>
    <w:rsid w:val="007422F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1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cument.dotm" TargetMode="External"/></Relationships>
</file>

<file path=word/theme/theme1.xml><?xml version="1.0" encoding="utf-8"?>
<a:theme xmlns:a="http://schemas.openxmlformats.org/drawingml/2006/main" name="Office Theme">
  <a:themeElements>
    <a:clrScheme name="RC Colours">
      <a:dk1>
        <a:sysClr val="windowText" lastClr="000000"/>
      </a:dk1>
      <a:lt1>
        <a:sysClr val="window" lastClr="FFFFFF"/>
      </a:lt1>
      <a:dk2>
        <a:srgbClr val="1F497D"/>
      </a:dk2>
      <a:lt2>
        <a:srgbClr val="EEECE1"/>
      </a:lt2>
      <a:accent1>
        <a:srgbClr val="4A7D9F"/>
      </a:accent1>
      <a:accent2>
        <a:srgbClr val="696197"/>
      </a:accent2>
      <a:accent3>
        <a:srgbClr val="899763"/>
      </a:accent3>
      <a:accent4>
        <a:srgbClr val="0CCBD3"/>
      </a:accent4>
      <a:accent5>
        <a:srgbClr val="AC6867"/>
      </a:accent5>
      <a:accent6>
        <a:srgbClr val="9D5083"/>
      </a:accent6>
      <a:hlink>
        <a:srgbClr val="0000FF"/>
      </a:hlink>
      <a:folHlink>
        <a:srgbClr val="00B0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 (x86)\Microsoft Office\Templates\BlankDocument.dotm</Template>
  <TotalTime>7</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Hopkins</dc:creator>
  <cp:lastModifiedBy>Acumen Support</cp:lastModifiedBy>
  <cp:revision>3</cp:revision>
  <cp:lastPrinted>2025-12-01T13:40:00Z</cp:lastPrinted>
  <dcterms:created xsi:type="dcterms:W3CDTF">2025-12-01T10:49:00Z</dcterms:created>
  <dcterms:modified xsi:type="dcterms:W3CDTF">2025-12-01T13:45:00Z</dcterms:modified>
</cp:coreProperties>
</file>