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DC0D8" w14:textId="79EE59A5" w:rsidR="00570258" w:rsidRDefault="00000000" w:rsidP="00AF0A2C">
      <w:pPr>
        <w:ind w:left="709"/>
        <w:jc w:val="center"/>
        <w:rPr>
          <w:b/>
          <w:bCs/>
        </w:rPr>
      </w:pPr>
      <w:r>
        <w:rPr>
          <w:b/>
          <w:bCs/>
        </w:rPr>
        <w:t>The Commonhold and Leasehold Reform Bill – Call for Evidence</w:t>
      </w:r>
    </w:p>
    <w:p w14:paraId="2B169D62" w14:textId="77777777" w:rsidR="00AF0A2C" w:rsidRDefault="00AF0A2C" w:rsidP="00AF0A2C">
      <w:pPr>
        <w:ind w:left="709"/>
        <w:jc w:val="center"/>
        <w:rPr>
          <w:b/>
          <w:bCs/>
        </w:rPr>
      </w:pPr>
    </w:p>
    <w:p w14:paraId="2F19E488" w14:textId="1E293900" w:rsidR="00AF0A2C" w:rsidRDefault="00000000" w:rsidP="00AF0A2C">
      <w:pPr>
        <w:ind w:left="709"/>
        <w:jc w:val="center"/>
        <w:rPr>
          <w:b/>
          <w:bCs/>
        </w:rPr>
      </w:pPr>
      <w:r>
        <w:rPr>
          <w:b/>
          <w:bCs/>
        </w:rPr>
        <w:t>Response on behalf of the Property Litigation Association</w:t>
      </w:r>
    </w:p>
    <w:p w14:paraId="76F75406" w14:textId="77777777" w:rsidR="00AF0A2C" w:rsidRDefault="00AF0A2C" w:rsidP="00570258">
      <w:pPr>
        <w:ind w:left="709"/>
        <w:rPr>
          <w:b/>
          <w:bCs/>
        </w:rPr>
      </w:pPr>
    </w:p>
    <w:p w14:paraId="28FA6BF5" w14:textId="7F98CCB3" w:rsidR="00AF0A2C" w:rsidRDefault="00000000" w:rsidP="00570258">
      <w:pPr>
        <w:ind w:left="709"/>
      </w:pPr>
      <w:r w:rsidRPr="00AF0A2C">
        <w:t>The Property Litigation Association (the PLA) is an association made up of approximately 1,500 lawyers specialising in property disputes in England and Wales.</w:t>
      </w:r>
      <w:r>
        <w:t xml:space="preserve"> Law Reform is one of the organisation’s key areas of focus.</w:t>
      </w:r>
      <w:r w:rsidRPr="00AF0A2C">
        <w:t xml:space="preserve"> Our members act for significant numbers of both landlords and tenants of varying size and sophistication in relation to those disputes.</w:t>
      </w:r>
      <w:r>
        <w:t xml:space="preserve"> Many of our members have extensive experience in disputes relating to residential and mixed-use developments. </w:t>
      </w:r>
    </w:p>
    <w:p w14:paraId="1A2E5688" w14:textId="77777777" w:rsidR="00AF0A2C" w:rsidRDefault="00AF0A2C" w:rsidP="00570258">
      <w:pPr>
        <w:ind w:left="709"/>
      </w:pPr>
    </w:p>
    <w:p w14:paraId="4C891F98" w14:textId="73DA70A6" w:rsidR="00AF0A2C" w:rsidRPr="00AF0A2C" w:rsidRDefault="00000000" w:rsidP="00570258">
      <w:pPr>
        <w:ind w:left="709"/>
      </w:pPr>
      <w:r>
        <w:t>As an organisation we do not seek to take a position on whether policies underlying draft legislation are good or bad. However, we are concerned to ensure that legislation is well-drafted and workable in practice and does not give rise to unintended consequences or disputes which could have been avoided,</w:t>
      </w:r>
    </w:p>
    <w:p w14:paraId="07550ACC" w14:textId="77777777" w:rsidR="00AF0A2C" w:rsidRPr="00570258" w:rsidRDefault="00AF0A2C" w:rsidP="00570258">
      <w:pPr>
        <w:ind w:left="709"/>
        <w:rPr>
          <w:b/>
          <w:bCs/>
        </w:rPr>
      </w:pPr>
    </w:p>
    <w:tbl>
      <w:tblPr>
        <w:tblW w:w="13864" w:type="dxa"/>
        <w:tblCellSpacing w:w="15" w:type="dxa"/>
        <w:tblCellMar>
          <w:top w:w="15" w:type="dxa"/>
          <w:left w:w="15" w:type="dxa"/>
          <w:bottom w:w="15" w:type="dxa"/>
          <w:right w:w="15" w:type="dxa"/>
        </w:tblCellMar>
        <w:tblLook w:val="04A0" w:firstRow="1" w:lastRow="0" w:firstColumn="1" w:lastColumn="0" w:noHBand="0" w:noVBand="1"/>
      </w:tblPr>
      <w:tblGrid>
        <w:gridCol w:w="1927"/>
        <w:gridCol w:w="4728"/>
        <w:gridCol w:w="7209"/>
      </w:tblGrid>
      <w:tr w:rsidR="00CF60E1" w14:paraId="465B7748" w14:textId="2FF550BB" w:rsidTr="00AF0A2C">
        <w:trPr>
          <w:tblHeader/>
          <w:tblCellSpacing w:w="15" w:type="dxa"/>
        </w:trPr>
        <w:tc>
          <w:tcPr>
            <w:tcW w:w="1882" w:type="dxa"/>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373BFC0E" w14:textId="77777777" w:rsidR="00AF0A2C" w:rsidRPr="00570258" w:rsidRDefault="00000000" w:rsidP="00570258">
            <w:pPr>
              <w:rPr>
                <w:b/>
                <w:bCs/>
              </w:rPr>
            </w:pPr>
            <w:r w:rsidRPr="00570258">
              <w:rPr>
                <w:b/>
                <w:bCs/>
              </w:rPr>
              <w:t>Theme</w:t>
            </w:r>
          </w:p>
        </w:tc>
        <w:tc>
          <w:tcPr>
            <w:tcW w:w="4698" w:type="dxa"/>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134179E8" w14:textId="77777777" w:rsidR="00AF0A2C" w:rsidRPr="00570258" w:rsidRDefault="00000000" w:rsidP="00570258">
            <w:pPr>
              <w:rPr>
                <w:b/>
                <w:bCs/>
              </w:rPr>
            </w:pPr>
            <w:r w:rsidRPr="00570258">
              <w:rPr>
                <w:b/>
                <w:bCs/>
              </w:rPr>
              <w:t>Question</w:t>
            </w:r>
          </w:p>
        </w:tc>
        <w:tc>
          <w:tcPr>
            <w:tcW w:w="7164" w:type="dxa"/>
            <w:tcBorders>
              <w:top w:val="single" w:sz="6" w:space="0" w:color="E6E6E6"/>
              <w:bottom w:val="single" w:sz="6" w:space="0" w:color="E6E6E6"/>
              <w:right w:val="single" w:sz="6" w:space="0" w:color="E6E6E6"/>
            </w:tcBorders>
            <w:shd w:val="clear" w:color="auto" w:fill="F5F5F5"/>
          </w:tcPr>
          <w:p w14:paraId="6517666C" w14:textId="77777777" w:rsidR="00AF0A2C" w:rsidRDefault="00AF0A2C" w:rsidP="00570258">
            <w:pPr>
              <w:rPr>
                <w:b/>
                <w:bCs/>
              </w:rPr>
            </w:pPr>
          </w:p>
          <w:p w14:paraId="7126D552" w14:textId="33EB4DE0" w:rsidR="00AF0A2C" w:rsidRPr="00570258" w:rsidRDefault="00000000" w:rsidP="00570258">
            <w:pPr>
              <w:rPr>
                <w:b/>
                <w:bCs/>
              </w:rPr>
            </w:pPr>
            <w:r>
              <w:rPr>
                <w:b/>
                <w:bCs/>
              </w:rPr>
              <w:t>Response</w:t>
            </w:r>
          </w:p>
        </w:tc>
      </w:tr>
      <w:tr w:rsidR="00CF60E1" w14:paraId="5B0BB30B" w14:textId="79D29E40" w:rsidTr="00AF0A2C">
        <w:trPr>
          <w:tblCellSpacing w:w="15" w:type="dxa"/>
        </w:trPr>
        <w:tc>
          <w:tcPr>
            <w:tcW w:w="1882" w:type="dxa"/>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3DFBE0A5" w14:textId="77777777" w:rsidR="00AF0A2C" w:rsidRPr="00570258" w:rsidRDefault="00000000" w:rsidP="00570258">
            <w:pPr>
              <w:rPr>
                <w:b/>
                <w:bCs/>
              </w:rPr>
            </w:pPr>
            <w:r w:rsidRPr="00570258">
              <w:rPr>
                <w:b/>
                <w:bCs/>
              </w:rPr>
              <w:t>Policy objectives</w:t>
            </w:r>
          </w:p>
        </w:tc>
        <w:tc>
          <w:tcPr>
            <w:tcW w:w="4698" w:type="dxa"/>
            <w:tcBorders>
              <w:bottom w:val="single" w:sz="6" w:space="0" w:color="E6E6E6"/>
              <w:right w:val="single" w:sz="6" w:space="0" w:color="E6E6E6"/>
            </w:tcBorders>
            <w:tcMar>
              <w:top w:w="120" w:type="dxa"/>
              <w:left w:w="180" w:type="dxa"/>
              <w:bottom w:w="105" w:type="dxa"/>
              <w:right w:w="120" w:type="dxa"/>
            </w:tcMar>
            <w:hideMark/>
          </w:tcPr>
          <w:p w14:paraId="02E5EB78" w14:textId="77777777" w:rsidR="00AF0A2C" w:rsidRPr="00570258" w:rsidRDefault="00000000" w:rsidP="00570258">
            <w:r w:rsidRPr="00570258">
              <w:t>How effectively does the draft Bill meet the Government's own policy intentions, including its commitment to “bring the feudal leasehold system to an end”?</w:t>
            </w:r>
          </w:p>
        </w:tc>
        <w:tc>
          <w:tcPr>
            <w:tcW w:w="7164" w:type="dxa"/>
            <w:tcBorders>
              <w:bottom w:val="single" w:sz="6" w:space="0" w:color="E6E6E6"/>
              <w:right w:val="single" w:sz="6" w:space="0" w:color="E6E6E6"/>
            </w:tcBorders>
          </w:tcPr>
          <w:p w14:paraId="200DFA02" w14:textId="52998764" w:rsidR="00AF0A2C" w:rsidRPr="00570258" w:rsidRDefault="00000000" w:rsidP="00570258">
            <w:r>
              <w:t xml:space="preserve">By eventually banning the sale of leasehold flats, the Bill will ultimately bring an end to leasehold in the residential sector. However, the Government should be careful in its view that leasehold is inherently bad or problematic. Clearly there are examples of “bad” landlords who may seek to recover onerous ground rents or who do not act fairly in the administration of service charges, however, leasehold ultimately is a useful tool for the legal structuring and management of blocks of flats and, even more, so complex multi-use estates.  For example, leasehold is regularly used as a structuring tool to allow investors to share in income and risk (through layered lease structures). Even if the Government has determined to phase out leasehold for individual flats, it is important that property investors still </w:t>
            </w:r>
            <w:proofErr w:type="gramStart"/>
            <w:r>
              <w:t>have the ability to</w:t>
            </w:r>
            <w:proofErr w:type="gramEnd"/>
            <w:r>
              <w:t xml:space="preserve"> create leasehold structures at headlease level. Not having the flexibility risks damaging the attractiveness of the UK property sector for investors. </w:t>
            </w:r>
          </w:p>
        </w:tc>
      </w:tr>
      <w:tr w:rsidR="00CF60E1" w14:paraId="67CA13C0" w14:textId="533CE2D6" w:rsidTr="00AF0A2C">
        <w:trPr>
          <w:tblCellSpacing w:w="15" w:type="dxa"/>
        </w:trPr>
        <w:tc>
          <w:tcPr>
            <w:tcW w:w="1882" w:type="dxa"/>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6AE08F00" w14:textId="77777777" w:rsidR="00AF0A2C" w:rsidRPr="00570258" w:rsidRDefault="00000000" w:rsidP="00570258">
            <w:pPr>
              <w:rPr>
                <w:b/>
                <w:bCs/>
              </w:rPr>
            </w:pPr>
            <w:r w:rsidRPr="00570258">
              <w:rPr>
                <w:b/>
                <w:bCs/>
              </w:rPr>
              <w:t>Policy objectives</w:t>
            </w:r>
          </w:p>
        </w:tc>
        <w:tc>
          <w:tcPr>
            <w:tcW w:w="4698" w:type="dxa"/>
            <w:tcBorders>
              <w:bottom w:val="single" w:sz="6" w:space="0" w:color="E6E6E6"/>
              <w:right w:val="single" w:sz="6" w:space="0" w:color="E6E6E6"/>
            </w:tcBorders>
            <w:tcMar>
              <w:top w:w="120" w:type="dxa"/>
              <w:left w:w="180" w:type="dxa"/>
              <w:bottom w:w="105" w:type="dxa"/>
              <w:right w:w="120" w:type="dxa"/>
            </w:tcMar>
            <w:hideMark/>
          </w:tcPr>
          <w:p w14:paraId="43DAE351" w14:textId="77777777" w:rsidR="00AF0A2C" w:rsidRPr="00570258" w:rsidRDefault="00000000" w:rsidP="00570258">
            <w:r w:rsidRPr="00570258">
              <w:t xml:space="preserve">Does the draft Bill provide a workable legal framework to support commonhold as the </w:t>
            </w:r>
            <w:r w:rsidRPr="00570258">
              <w:lastRenderedPageBreak/>
              <w:t>preferred, default tenure for flat ownership by the end of the Parliament?</w:t>
            </w:r>
          </w:p>
        </w:tc>
        <w:tc>
          <w:tcPr>
            <w:tcW w:w="7164" w:type="dxa"/>
            <w:tcBorders>
              <w:bottom w:val="single" w:sz="6" w:space="0" w:color="E6E6E6"/>
              <w:right w:val="single" w:sz="6" w:space="0" w:color="E6E6E6"/>
            </w:tcBorders>
          </w:tcPr>
          <w:p w14:paraId="2734A354" w14:textId="7E021515" w:rsidR="00AF0A2C" w:rsidRDefault="00000000" w:rsidP="000D030E">
            <w:r>
              <w:lastRenderedPageBreak/>
              <w:t>•</w:t>
            </w:r>
            <w:r>
              <w:tab/>
              <w:t xml:space="preserve">The Bill does go some considerable way towards providing a reformed framework to make commonhold the default tenure. A key flaw with the existing framework is that it doesn’t work for the modern developments built </w:t>
            </w:r>
            <w:r>
              <w:lastRenderedPageBreak/>
              <w:t xml:space="preserve">today. The Bill reforms the framework to make it more flexible, recognising the different interests of mixed-use unit holders and addressing shared ownership arrangements. </w:t>
            </w:r>
          </w:p>
          <w:p w14:paraId="79EAE847" w14:textId="77777777" w:rsidR="00AF0A2C" w:rsidRDefault="00000000" w:rsidP="000D030E">
            <w:r>
              <w:t>•</w:t>
            </w:r>
            <w:r>
              <w:tab/>
              <w:t xml:space="preserve">It introduces the concept of “sections” to recognise both separate heads of expenditure and governance needed for commercial and residential parts in a single commonhold. It also allows for permitted leases and provides developers with necessary flexibility to determine development rights whilst at the same time safeguarding consumer interests. This will be key to ensuring commonhold is a viable alternative to leasehold. However, we do have remaining concerns about how effectively the Bill will operate in the case of complex </w:t>
            </w:r>
            <w:proofErr w:type="gramStart"/>
            <w:r>
              <w:t>mixed use</w:t>
            </w:r>
            <w:proofErr w:type="gramEnd"/>
            <w:r>
              <w:t xml:space="preserve"> development where, for example, some services are provided on a </w:t>
            </w:r>
            <w:proofErr w:type="gramStart"/>
            <w:r>
              <w:t>block by block</w:t>
            </w:r>
            <w:proofErr w:type="gramEnd"/>
            <w:r>
              <w:t xml:space="preserve"> basis but others are </w:t>
            </w:r>
            <w:proofErr w:type="gramStart"/>
            <w:r>
              <w:t>estate-wide</w:t>
            </w:r>
            <w:proofErr w:type="gramEnd"/>
            <w:r>
              <w:t xml:space="preserve">.  </w:t>
            </w:r>
          </w:p>
          <w:p w14:paraId="296A9AC5" w14:textId="5F5427E9" w:rsidR="00AF0A2C" w:rsidRDefault="00000000" w:rsidP="000D030E">
            <w:r>
              <w:t xml:space="preserve"> </w:t>
            </w:r>
          </w:p>
          <w:p w14:paraId="79C03574" w14:textId="77777777" w:rsidR="00AF0A2C" w:rsidRDefault="00000000" w:rsidP="000D030E">
            <w:r>
              <w:t xml:space="preserve"> </w:t>
            </w:r>
          </w:p>
          <w:p w14:paraId="5DCFA4B1" w14:textId="29802278" w:rsidR="00AF0A2C" w:rsidRDefault="00000000" w:rsidP="000D030E">
            <w:r>
              <w:t>•</w:t>
            </w:r>
            <w:r>
              <w:tab/>
              <w:t xml:space="preserve">Governance is strengthened through mandatory reserve funds, clearer rules for appointing and removing directors, and collective approval of annual budgets and the ability to raise emergency funds and enforce contributions, including applying for an order for sale as a last resort. Dispute resolution is streamlined through tribunals. These measures are key to addressing weaknesses in the existing </w:t>
            </w:r>
            <w:proofErr w:type="gramStart"/>
            <w:r>
              <w:t>model</w:t>
            </w:r>
            <w:proofErr w:type="gramEnd"/>
            <w:r>
              <w:t xml:space="preserve"> but it will be important to ensure that (</w:t>
            </w:r>
            <w:proofErr w:type="spellStart"/>
            <w:r>
              <w:t>i</w:t>
            </w:r>
            <w:proofErr w:type="spellEnd"/>
            <w:r>
              <w:t xml:space="preserve">) leaseholders converting to commonhold fully understand the responsibilities they are assuming and (ii) </w:t>
            </w:r>
            <w:proofErr w:type="spellStart"/>
            <w:r>
              <w:t>commonholders</w:t>
            </w:r>
            <w:proofErr w:type="spellEnd"/>
            <w:r>
              <w:t xml:space="preserve"> are not able to succumb to the temptation to defer required works or reduce reserve fund contributions </w:t>
            </w:r>
            <w:proofErr w:type="gramStart"/>
            <w:r>
              <w:t>in order to</w:t>
            </w:r>
            <w:proofErr w:type="gramEnd"/>
            <w:r>
              <w:t xml:space="preserve"> save costs.  </w:t>
            </w:r>
          </w:p>
          <w:p w14:paraId="01EDF664" w14:textId="77777777" w:rsidR="00AF0A2C" w:rsidRDefault="00000000" w:rsidP="000D030E">
            <w:r>
              <w:t xml:space="preserve"> </w:t>
            </w:r>
          </w:p>
          <w:p w14:paraId="211216DF" w14:textId="7095582E" w:rsidR="00AF0A2C" w:rsidRDefault="00000000" w:rsidP="000D030E">
            <w:r>
              <w:t>•</w:t>
            </w:r>
            <w:r>
              <w:tab/>
              <w:t xml:space="preserve">The Bill also effectively addresses the existing conversion hurdle and facilitates conversion of existing leaseholds to commonhold by lowering the consent threshold from 100% to 50%. This will be essential to avoid a sustained two-tier system where there are currently 5 million plus existing </w:t>
            </w:r>
            <w:r>
              <w:lastRenderedPageBreak/>
              <w:t xml:space="preserve">leaseholds. However, we do have concerns about how the system will operate in respect of leaseholders who chose not to convert to commonhold. It seems unfair that their leases will nonetheless be aligned to the Commonhold Community Statement and leaseholders who do not wish to (or cannot afford to) take part in the conversion process risk being prejudiced. </w:t>
            </w:r>
          </w:p>
          <w:p w14:paraId="4E0439DC" w14:textId="77777777" w:rsidR="00AF0A2C" w:rsidRDefault="00000000" w:rsidP="000D030E">
            <w:r>
              <w:t xml:space="preserve"> </w:t>
            </w:r>
          </w:p>
          <w:p w14:paraId="61D709DA" w14:textId="1A13D2A6" w:rsidR="00AF0A2C" w:rsidRDefault="00000000" w:rsidP="000D030E">
            <w:r>
              <w:t>•</w:t>
            </w:r>
            <w:r>
              <w:tab/>
              <w:t xml:space="preserve">The proposed timeframes are ambitious (2029 to achieve this by the end of the current Parliament). Landlords and developers have raised concerns about financial impacts and practical </w:t>
            </w:r>
            <w:proofErr w:type="gramStart"/>
            <w:r>
              <w:t>implementation</w:t>
            </w:r>
            <w:proofErr w:type="gramEnd"/>
            <w:r>
              <w:t xml:space="preserve"> and Government will need to onboard the lenders if this is to be achieved which is where the work of the Select Committee engagement is likely to prove very valuable.</w:t>
            </w:r>
          </w:p>
        </w:tc>
      </w:tr>
      <w:tr w:rsidR="00CF60E1" w14:paraId="570A2A7C" w14:textId="11A1CF6F" w:rsidTr="00AF0A2C">
        <w:trPr>
          <w:tblCellSpacing w:w="15" w:type="dxa"/>
        </w:trPr>
        <w:tc>
          <w:tcPr>
            <w:tcW w:w="1882" w:type="dxa"/>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4E649A85" w14:textId="77777777" w:rsidR="00AF0A2C" w:rsidRPr="00570258" w:rsidRDefault="00000000" w:rsidP="00570258">
            <w:pPr>
              <w:rPr>
                <w:b/>
                <w:bCs/>
              </w:rPr>
            </w:pPr>
            <w:r w:rsidRPr="00570258">
              <w:rPr>
                <w:b/>
                <w:bCs/>
              </w:rPr>
              <w:lastRenderedPageBreak/>
              <w:t>Strengthening leaseholders’ rights</w:t>
            </w:r>
          </w:p>
        </w:tc>
        <w:tc>
          <w:tcPr>
            <w:tcW w:w="4698" w:type="dxa"/>
            <w:tcBorders>
              <w:bottom w:val="single" w:sz="6" w:space="0" w:color="E6E6E6"/>
              <w:right w:val="single" w:sz="6" w:space="0" w:color="E6E6E6"/>
            </w:tcBorders>
            <w:tcMar>
              <w:top w:w="120" w:type="dxa"/>
              <w:left w:w="180" w:type="dxa"/>
              <w:bottom w:w="105" w:type="dxa"/>
              <w:right w:w="120" w:type="dxa"/>
            </w:tcMar>
            <w:hideMark/>
          </w:tcPr>
          <w:p w14:paraId="0488BE21" w14:textId="77777777" w:rsidR="00AF0A2C" w:rsidRPr="00570258" w:rsidRDefault="00000000" w:rsidP="00570258">
            <w:r w:rsidRPr="00570258">
              <w:t>Will the Government’s proposal for a cap on ground rents of £250 a year, changing to a peppercorn after 40 years, tackle unregulated and unaffordable existing ground rent charges?</w:t>
            </w:r>
          </w:p>
        </w:tc>
        <w:tc>
          <w:tcPr>
            <w:tcW w:w="7164" w:type="dxa"/>
            <w:tcBorders>
              <w:bottom w:val="single" w:sz="6" w:space="0" w:color="E6E6E6"/>
              <w:right w:val="single" w:sz="6" w:space="0" w:color="E6E6E6"/>
            </w:tcBorders>
          </w:tcPr>
          <w:p w14:paraId="48977B80" w14:textId="245A977B" w:rsidR="00AF0A2C" w:rsidRPr="00DD58FC" w:rsidRDefault="00000000" w:rsidP="00DD58FC">
            <w:r w:rsidRPr="00DD58FC">
              <w:t xml:space="preserve">Yes – the proposed cap of £250 per year (reducing to a peppercorn (zero rent) after 40 years) will be a legally robust measure to curb unregulated and unaffordable ground rents in existing leases. This extends the existing protections in the Leasehold Reform (Ground Rent) Act 2022’s to pre-2022 leases, meaning any requirement to pay above £250 annually will become unenforceable once the cap comes into force, and all ground rent obligations are eliminated after a 40-year transition period. </w:t>
            </w:r>
          </w:p>
          <w:p w14:paraId="7669BCA8" w14:textId="77777777" w:rsidR="00AF0A2C" w:rsidRPr="00DD58FC" w:rsidRDefault="00000000" w:rsidP="00DD58FC">
            <w:r w:rsidRPr="00DD58FC">
              <w:t> </w:t>
            </w:r>
          </w:p>
          <w:p w14:paraId="364DB97D" w14:textId="77777777" w:rsidR="00AF0A2C" w:rsidRDefault="00000000" w:rsidP="00DD58FC">
            <w:r w:rsidRPr="00DD58FC">
              <w:t>Although not retroactive (i</w:t>
            </w:r>
            <w:r>
              <w:t>.</w:t>
            </w:r>
            <w:r w:rsidRPr="00DD58FC">
              <w:t>e</w:t>
            </w:r>
            <w:r>
              <w:t>.</w:t>
            </w:r>
            <w:r w:rsidRPr="00DD58FC">
              <w:t xml:space="preserve"> past payments are not refunded), the cap will immediately reduce current ground rents that are above £250 and bar future increases, giving leaseholders prompt relief and ensuring excessive ground charges are phased out over time. </w:t>
            </w:r>
          </w:p>
          <w:p w14:paraId="2F7CDF9E" w14:textId="77777777" w:rsidR="00AF0A2C" w:rsidRDefault="00AF0A2C" w:rsidP="00DD58FC"/>
          <w:p w14:paraId="6EF1DD04" w14:textId="67B37BE9" w:rsidR="00AF0A2C" w:rsidRDefault="00000000" w:rsidP="00DD58FC">
            <w:r>
              <w:t xml:space="preserve">We would however question the decision </w:t>
            </w:r>
            <w:r w:rsidR="00785CD3">
              <w:t xml:space="preserve">not </w:t>
            </w:r>
            <w:r>
              <w:t xml:space="preserve">to index-link the £250 cap as </w:t>
            </w:r>
            <w:proofErr w:type="spellStart"/>
            <w:r>
              <w:t>it’s</w:t>
            </w:r>
            <w:proofErr w:type="spellEnd"/>
            <w:r>
              <w:t xml:space="preserve"> value in real terms will be eroded long before the </w:t>
            </w:r>
            <w:proofErr w:type="gramStart"/>
            <w:r>
              <w:t>40 year</w:t>
            </w:r>
            <w:proofErr w:type="gramEnd"/>
            <w:r>
              <w:t xml:space="preserve"> cut-off is reached. The Government should bear in mind that the cap could have real</w:t>
            </w:r>
            <w:r w:rsidR="00785CD3">
              <w:t>-</w:t>
            </w:r>
            <w:r>
              <w:t>world</w:t>
            </w:r>
            <w:r w:rsidR="00785CD3">
              <w:t xml:space="preserve"> </w:t>
            </w:r>
            <w:r>
              <w:lastRenderedPageBreak/>
              <w:t>impacts on landlords who have borrowed against assumed long-term ground rent income and the lack of any indexation will exacerbate this.</w:t>
            </w:r>
          </w:p>
          <w:p w14:paraId="01AE4670" w14:textId="77777777" w:rsidR="00AF0A2C" w:rsidRDefault="00AF0A2C" w:rsidP="00DD58FC"/>
          <w:p w14:paraId="38C59925" w14:textId="77777777" w:rsidR="00AF0A2C" w:rsidRDefault="00000000" w:rsidP="00DD58FC">
            <w:r>
              <w:t xml:space="preserve">In terms of the mischief which the cap seeks to address, we agree that regulation is required in respect of genuinely unaffordable ground rents (for example those that double over time). However, we would query whether £250 per annum is a genuine cut-off for affordability. Anecdotally, most affordability complaints raised by leaseholders appear to relate to service charge/maintenance costs as opposed to the (by comparison often modest) ground rent. </w:t>
            </w:r>
          </w:p>
          <w:p w14:paraId="4720B65D" w14:textId="77777777" w:rsidR="00AF0A2C" w:rsidRDefault="00AF0A2C" w:rsidP="00DD58FC"/>
          <w:p w14:paraId="079F83A2" w14:textId="0BB83492" w:rsidR="00AF0A2C" w:rsidRDefault="00000000" w:rsidP="00DD58FC">
            <w:r>
              <w:t xml:space="preserve">We would support exemptions to the cap where appropriate. For example, there should be an exemption where a leaseholder has agreed to a higher ground rent in return for a reduced upfront premium. Query also whether it is appropriate for buy to let investors to benefit from the cap. </w:t>
            </w:r>
          </w:p>
        </w:tc>
      </w:tr>
      <w:tr w:rsidR="00CF60E1" w14:paraId="46817E57" w14:textId="0D899B12" w:rsidTr="00AF0A2C">
        <w:trPr>
          <w:tblCellSpacing w:w="15" w:type="dxa"/>
        </w:trPr>
        <w:tc>
          <w:tcPr>
            <w:tcW w:w="1882" w:type="dxa"/>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3C0CB921" w14:textId="77777777" w:rsidR="00AF0A2C" w:rsidRPr="00570258" w:rsidRDefault="00000000" w:rsidP="00570258">
            <w:pPr>
              <w:rPr>
                <w:b/>
                <w:bCs/>
              </w:rPr>
            </w:pPr>
            <w:r w:rsidRPr="00570258">
              <w:rPr>
                <w:b/>
                <w:bCs/>
              </w:rPr>
              <w:lastRenderedPageBreak/>
              <w:t>Strengthening leaseholders’ rights</w:t>
            </w:r>
          </w:p>
        </w:tc>
        <w:tc>
          <w:tcPr>
            <w:tcW w:w="4698" w:type="dxa"/>
            <w:tcBorders>
              <w:bottom w:val="single" w:sz="6" w:space="0" w:color="E6E6E6"/>
              <w:right w:val="single" w:sz="6" w:space="0" w:color="E6E6E6"/>
            </w:tcBorders>
            <w:tcMar>
              <w:top w:w="120" w:type="dxa"/>
              <w:left w:w="180" w:type="dxa"/>
              <w:bottom w:w="105" w:type="dxa"/>
              <w:right w:w="120" w:type="dxa"/>
            </w:tcMar>
            <w:hideMark/>
          </w:tcPr>
          <w:p w14:paraId="4F26F7E9" w14:textId="77777777" w:rsidR="00AF0A2C" w:rsidRPr="00570258" w:rsidRDefault="00000000" w:rsidP="00570258">
            <w:r w:rsidRPr="00570258">
              <w:t>How does the draft Bill seek to address the respective property rights of leaseholders and freeholders?</w:t>
            </w:r>
          </w:p>
        </w:tc>
        <w:tc>
          <w:tcPr>
            <w:tcW w:w="7164" w:type="dxa"/>
            <w:tcBorders>
              <w:bottom w:val="single" w:sz="6" w:space="0" w:color="E6E6E6"/>
              <w:right w:val="single" w:sz="6" w:space="0" w:color="E6E6E6"/>
            </w:tcBorders>
          </w:tcPr>
          <w:p w14:paraId="2B70F4E2" w14:textId="2336EFB7" w:rsidR="00AF0A2C" w:rsidRDefault="00000000" w:rsidP="00DD58FC">
            <w:r>
              <w:t>The Bill is a significant step towards stronger protections for leaseholders, giving them greater control and rights over their homes, greater protection and lower property charges.</w:t>
            </w:r>
          </w:p>
          <w:p w14:paraId="276F446A" w14:textId="0D970B76" w:rsidR="00AF0A2C" w:rsidRDefault="00000000" w:rsidP="00DD58FC">
            <w:r>
              <w:tab/>
            </w:r>
          </w:p>
          <w:p w14:paraId="0E44D9A8" w14:textId="77777777" w:rsidR="00AF0A2C" w:rsidRDefault="00000000" w:rsidP="00DD58FC">
            <w:r>
              <w:t>But the Bill also brings significant changes for freeholders, investors and developers and may raise questions about future investment in residential property.  The Bill will impact development portfolios and income from ground rent investment and cause uncertainty about leasehold blocks possibly converting to commonhold.</w:t>
            </w:r>
          </w:p>
          <w:p w14:paraId="0A03A442" w14:textId="77777777" w:rsidR="00AF0A2C" w:rsidRDefault="00AF0A2C" w:rsidP="00DD58FC"/>
          <w:p w14:paraId="730EC45F" w14:textId="5D8DBA41" w:rsidR="00AF0A2C" w:rsidRDefault="00000000" w:rsidP="00DD58FC">
            <w:r>
              <w:t xml:space="preserve">We note that the Bill appears to envisage that landlords will in many cases remain part of the commonhold structure through the ability of participating leaseholders to require landlords to take </w:t>
            </w:r>
            <w:proofErr w:type="gramStart"/>
            <w:r>
              <w:t>999 year</w:t>
            </w:r>
            <w:proofErr w:type="gramEnd"/>
            <w:r>
              <w:t xml:space="preserve"> leasebacks of non-</w:t>
            </w:r>
            <w:r>
              <w:lastRenderedPageBreak/>
              <w:t xml:space="preserve">participating leaseholders. As we understand it, both the landlord and the non-participating leaseholder will be a member of the Commonhold Association in that scenario, however, it is unclear how voting rights would be allocated between them. In principle, we imagine that many landlords would prefer to have the option to exit completely in the event of conversion to commonhold rather than remaining involved in a somewhat ill-defined capacity. </w:t>
            </w:r>
          </w:p>
        </w:tc>
      </w:tr>
      <w:tr w:rsidR="00CF60E1" w14:paraId="3ECD0A92" w14:textId="1890719E" w:rsidTr="00AF0A2C">
        <w:trPr>
          <w:tblCellSpacing w:w="15" w:type="dxa"/>
        </w:trPr>
        <w:tc>
          <w:tcPr>
            <w:tcW w:w="1882" w:type="dxa"/>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70D8979C" w14:textId="77777777" w:rsidR="00AF0A2C" w:rsidRPr="00570258" w:rsidRDefault="00000000" w:rsidP="002B5F6B">
            <w:pPr>
              <w:rPr>
                <w:b/>
                <w:bCs/>
              </w:rPr>
            </w:pPr>
            <w:r w:rsidRPr="00570258">
              <w:rPr>
                <w:b/>
                <w:bCs/>
              </w:rPr>
              <w:lastRenderedPageBreak/>
              <w:t>Strengthening leaseholders’ rights</w:t>
            </w:r>
          </w:p>
        </w:tc>
        <w:tc>
          <w:tcPr>
            <w:tcW w:w="4698" w:type="dxa"/>
            <w:tcBorders>
              <w:bottom w:val="single" w:sz="6" w:space="0" w:color="E6E6E6"/>
              <w:right w:val="single" w:sz="6" w:space="0" w:color="E6E6E6"/>
            </w:tcBorders>
            <w:tcMar>
              <w:top w:w="120" w:type="dxa"/>
              <w:left w:w="180" w:type="dxa"/>
              <w:bottom w:w="105" w:type="dxa"/>
              <w:right w:w="120" w:type="dxa"/>
            </w:tcMar>
            <w:hideMark/>
          </w:tcPr>
          <w:p w14:paraId="403D2ADE" w14:textId="77777777" w:rsidR="00AF0A2C" w:rsidRPr="00570258" w:rsidRDefault="00000000" w:rsidP="002B5F6B">
            <w:r w:rsidRPr="00570258">
              <w:t xml:space="preserve">Are there any potential loopholes in the draft Bill’s provisions to cap ground rents, including </w:t>
            </w:r>
            <w:proofErr w:type="gramStart"/>
            <w:r w:rsidRPr="00570258">
              <w:t>through the use of</w:t>
            </w:r>
            <w:proofErr w:type="gramEnd"/>
            <w:r w:rsidRPr="00570258">
              <w:t xml:space="preserve"> headleases?</w:t>
            </w:r>
          </w:p>
        </w:tc>
        <w:tc>
          <w:tcPr>
            <w:tcW w:w="7164" w:type="dxa"/>
            <w:tcBorders>
              <w:bottom w:val="single" w:sz="6" w:space="0" w:color="E6E6E6"/>
              <w:right w:val="single" w:sz="6" w:space="0" w:color="E6E6E6"/>
            </w:tcBorders>
          </w:tcPr>
          <w:p w14:paraId="56132CC7" w14:textId="77777777" w:rsidR="00AF0A2C" w:rsidRDefault="00000000" w:rsidP="002B5F6B">
            <w:r>
              <w:t>Broadly t</w:t>
            </w:r>
            <w:r w:rsidRPr="0007613B">
              <w:t>he draft Bill helps close existing loopholes in ground rent regulation, including those associated with headlease structures. It extends the cap to pre</w:t>
            </w:r>
            <w:r w:rsidRPr="0007613B">
              <w:rPr>
                <w:rFonts w:ascii="Cambria Math" w:hAnsi="Cambria Math" w:cs="Cambria Math"/>
              </w:rPr>
              <w:t>‑</w:t>
            </w:r>
            <w:r w:rsidRPr="0007613B">
              <w:t xml:space="preserve">2022 leases and contains specific provisions for intermediate landlords, preventing rents being preserved or inflated upstream where income is reduced by the cap. Exemptions are limited and defined, largely mirroring those under the 2022 Act, which constrains </w:t>
            </w:r>
            <w:r>
              <w:t xml:space="preserve">any attempted </w:t>
            </w:r>
            <w:r w:rsidRPr="0007613B">
              <w:t>avoidance by re</w:t>
            </w:r>
            <w:r w:rsidRPr="0007613B">
              <w:rPr>
                <w:rFonts w:ascii="Cambria Math" w:hAnsi="Cambria Math" w:cs="Cambria Math"/>
              </w:rPr>
              <w:t>‑</w:t>
            </w:r>
            <w:r w:rsidRPr="0007613B">
              <w:t>character</w:t>
            </w:r>
            <w:r>
              <w:t>ising ground rent as an alternative charge under the lease</w:t>
            </w:r>
            <w:r w:rsidRPr="0007613B">
              <w:t xml:space="preserve">. </w:t>
            </w:r>
            <w:r>
              <w:t>However, we consider that t</w:t>
            </w:r>
            <w:r w:rsidRPr="0007613B">
              <w:t>he main residual risks arise not from headleases but from more complex arrangements:</w:t>
            </w:r>
            <w:r>
              <w:t xml:space="preserve"> for example,</w:t>
            </w:r>
            <w:r w:rsidRPr="0007613B">
              <w:t xml:space="preserve"> attempts to rely on business or social</w:t>
            </w:r>
            <w:r w:rsidRPr="0007613B">
              <w:rPr>
                <w:rFonts w:ascii="Cambria Math" w:hAnsi="Cambria Math" w:cs="Cambria Math"/>
              </w:rPr>
              <w:t>‑</w:t>
            </w:r>
            <w:r w:rsidRPr="0007613B">
              <w:t>purpose exemptions, rent</w:t>
            </w:r>
            <w:r w:rsidRPr="0007613B">
              <w:rPr>
                <w:rFonts w:ascii="Cambria Math" w:hAnsi="Cambria Math" w:cs="Cambria Math"/>
              </w:rPr>
              <w:t>‑</w:t>
            </w:r>
            <w:r w:rsidRPr="0007613B">
              <w:t xml:space="preserve">only </w:t>
            </w:r>
            <w:r w:rsidRPr="0007613B">
              <w:rPr>
                <w:rFonts w:cs="Arial"/>
              </w:rPr>
              <w:t>“</w:t>
            </w:r>
            <w:r w:rsidRPr="0007613B">
              <w:t>no premium</w:t>
            </w:r>
            <w:r w:rsidRPr="0007613B">
              <w:rPr>
                <w:rFonts w:cs="Arial"/>
              </w:rPr>
              <w:t>”</w:t>
            </w:r>
            <w:r w:rsidRPr="0007613B">
              <w:t xml:space="preserve"> leases, or negotiated quid</w:t>
            </w:r>
            <w:r w:rsidRPr="0007613B">
              <w:rPr>
                <w:rFonts w:ascii="Cambria Math" w:hAnsi="Cambria Math" w:cs="Cambria Math"/>
              </w:rPr>
              <w:t>‑</w:t>
            </w:r>
            <w:r w:rsidRPr="0007613B">
              <w:t>pro</w:t>
            </w:r>
            <w:r w:rsidRPr="0007613B">
              <w:rPr>
                <w:rFonts w:ascii="Cambria Math" w:hAnsi="Cambria Math" w:cs="Cambria Math"/>
              </w:rPr>
              <w:t>‑</w:t>
            </w:r>
            <w:r w:rsidRPr="0007613B">
              <w:t xml:space="preserve">quo leases exchanging price for rent. </w:t>
            </w:r>
          </w:p>
          <w:p w14:paraId="38A9A7AF" w14:textId="77777777" w:rsidR="00AF0A2C" w:rsidRDefault="00AF0A2C" w:rsidP="002B5F6B"/>
          <w:p w14:paraId="5F92B2CC" w14:textId="77777777" w:rsidR="00AF0A2C" w:rsidRDefault="00000000" w:rsidP="002B5F6B">
            <w:r>
              <w:t>However, t</w:t>
            </w:r>
            <w:r w:rsidRPr="0007613B">
              <w:t xml:space="preserve">he Government </w:t>
            </w:r>
            <w:r>
              <w:t xml:space="preserve">has </w:t>
            </w:r>
            <w:r w:rsidRPr="0007613B">
              <w:t>recognise</w:t>
            </w:r>
            <w:r>
              <w:t>d</w:t>
            </w:r>
            <w:r w:rsidRPr="0007613B">
              <w:t xml:space="preserve"> these risks and signal</w:t>
            </w:r>
            <w:r>
              <w:t>led</w:t>
            </w:r>
            <w:r w:rsidRPr="0007613B">
              <w:t xml:space="preserve"> </w:t>
            </w:r>
            <w:r>
              <w:t xml:space="preserve">that it will implement </w:t>
            </w:r>
            <w:r w:rsidRPr="0007613B">
              <w:t>close regulatory control</w:t>
            </w:r>
            <w:r>
              <w:t>. The risk of landlords avoiding the ground rent cap will therefore be determined by the Government's planned oversight of exempt arrangements and we would welcome more detail on these proposals</w:t>
            </w:r>
            <w:r w:rsidRPr="0007613B">
              <w:t>.</w:t>
            </w:r>
          </w:p>
          <w:p w14:paraId="19E22E3A" w14:textId="77777777" w:rsidR="00AF0A2C" w:rsidRDefault="00AF0A2C" w:rsidP="002B5F6B"/>
          <w:p w14:paraId="1514330D" w14:textId="77777777" w:rsidR="00AF0A2C" w:rsidRDefault="00000000" w:rsidP="002B5F6B">
            <w:r>
              <w:t>Some proposals for consideration may include:</w:t>
            </w:r>
          </w:p>
          <w:p w14:paraId="42F7343E" w14:textId="77777777" w:rsidR="00AF0A2C" w:rsidRDefault="00000000" w:rsidP="002B5F6B">
            <w:pPr>
              <w:pStyle w:val="ListParagraph"/>
              <w:numPr>
                <w:ilvl w:val="0"/>
                <w:numId w:val="23"/>
              </w:numPr>
            </w:pPr>
            <w:r w:rsidRPr="003E040A">
              <w:rPr>
                <w:b/>
                <w:bCs/>
              </w:rPr>
              <w:t>Purposive definition of “rent”</w:t>
            </w:r>
            <w:r>
              <w:t>:</w:t>
            </w:r>
            <w:r w:rsidRPr="003E040A">
              <w:t xml:space="preserve"> In Part 3/Schedule 13, regulated ground rent </w:t>
            </w:r>
            <w:r>
              <w:t xml:space="preserve">could be defined </w:t>
            </w:r>
            <w:r w:rsidRPr="003E040A">
              <w:t xml:space="preserve">broadly as any recurring payment for occupation/holding not referable to services </w:t>
            </w:r>
            <w:proofErr w:type="gramStart"/>
            <w:r w:rsidRPr="003E040A">
              <w:t>actually provided</w:t>
            </w:r>
            <w:proofErr w:type="gramEnd"/>
            <w:r w:rsidRPr="003E040A">
              <w:t xml:space="preserve">, </w:t>
            </w:r>
            <w:r w:rsidRPr="003E040A">
              <w:lastRenderedPageBreak/>
              <w:t>whatever the label (rent, fee, contribution, licence, membership), so that disguised</w:t>
            </w:r>
            <w:r>
              <w:t xml:space="preserve"> ground</w:t>
            </w:r>
            <w:r w:rsidRPr="003E040A">
              <w:t xml:space="preserve"> rent is caught.</w:t>
            </w:r>
          </w:p>
          <w:p w14:paraId="209C030B" w14:textId="77777777" w:rsidR="00AF0A2C" w:rsidRDefault="00000000" w:rsidP="002B5F6B">
            <w:pPr>
              <w:pStyle w:val="ListParagraph"/>
              <w:numPr>
                <w:ilvl w:val="0"/>
                <w:numId w:val="23"/>
              </w:numPr>
            </w:pPr>
            <w:r w:rsidRPr="003E040A">
              <w:rPr>
                <w:b/>
                <w:bCs/>
              </w:rPr>
              <w:t>Linked agreements/connected persons rule</w:t>
            </w:r>
            <w:r>
              <w:t>:</w:t>
            </w:r>
            <w:r w:rsidRPr="003E040A">
              <w:t xml:space="preserve"> Treat agreements with connected parties (</w:t>
            </w:r>
            <w:r>
              <w:t xml:space="preserve">e.g. </w:t>
            </w:r>
            <w:r w:rsidRPr="003E040A">
              <w:t xml:space="preserve">managing agents, </w:t>
            </w:r>
            <w:proofErr w:type="spellStart"/>
            <w:r w:rsidRPr="003E040A">
              <w:t>headlessees</w:t>
            </w:r>
            <w:proofErr w:type="spellEnd"/>
            <w:r w:rsidRPr="003E040A">
              <w:t xml:space="preserve">, group companies) as a single arrangement with the lease for </w:t>
            </w:r>
            <w:r>
              <w:t xml:space="preserve">ground rent </w:t>
            </w:r>
            <w:r w:rsidRPr="003E040A">
              <w:t xml:space="preserve">cap purposes, so side </w:t>
            </w:r>
            <w:r>
              <w:t>arrangements</w:t>
            </w:r>
            <w:r w:rsidRPr="003E040A">
              <w:t xml:space="preserve"> cannot defeat the regime</w:t>
            </w:r>
            <w:r>
              <w:t>.</w:t>
            </w:r>
          </w:p>
          <w:p w14:paraId="5DFFABD5" w14:textId="77777777" w:rsidR="00AF0A2C" w:rsidRDefault="00000000" w:rsidP="002B5F6B">
            <w:r w:rsidRPr="003E040A">
              <w:rPr>
                <w:b/>
                <w:bCs/>
              </w:rPr>
              <w:t>FTT jurisdiction and guidance</w:t>
            </w:r>
            <w:r>
              <w:rPr>
                <w:b/>
                <w:bCs/>
              </w:rPr>
              <w:t>:</w:t>
            </w:r>
            <w:r w:rsidRPr="003E040A">
              <w:t xml:space="preserve"> Give the FTT explicit power</w:t>
            </w:r>
            <w:r>
              <w:t>s</w:t>
            </w:r>
            <w:r w:rsidRPr="003E040A">
              <w:t xml:space="preserve"> to determine cap avoidance disputes (including declarations that a</w:t>
            </w:r>
            <w:r>
              <w:t>n alternative</w:t>
            </w:r>
            <w:r w:rsidRPr="003E040A">
              <w:t xml:space="preserve"> charge is disguised rent), supported by statutory guidance and costs powers to deter tactical behaviour</w:t>
            </w:r>
            <w:r>
              <w:t xml:space="preserve"> to avoid the cap.</w:t>
            </w:r>
          </w:p>
          <w:p w14:paraId="43D806E9" w14:textId="77777777" w:rsidR="00AF0A2C" w:rsidRDefault="00AF0A2C" w:rsidP="002B5F6B"/>
          <w:p w14:paraId="78636CAC" w14:textId="1683611B" w:rsidR="00AF0A2C" w:rsidRDefault="00000000" w:rsidP="002B5F6B">
            <w:r>
              <w:t xml:space="preserve">In its Policy paper, the Government refers to a scenario in which a leaseholder benefits from a reduced premium in return for a higher ground rent. It seems fair and reasonable that this should be exclusion from the capping of ground rent in the same way that there is an equivalent exclusion to the 0.1% cap in LAFRA 2024. As with LAFRA 2024, there may be evidential issues for landlords seeking to retrospectively demonstrate that this was the case. However, in principle this could be ameliorated if landlords had the ability that the premium for which the lease was sold was less than the open market value at the time. This could be assumed to be in return for the higher ground rent unless the leaseholder can show that it was for another unconnected reason. </w:t>
            </w:r>
          </w:p>
        </w:tc>
      </w:tr>
      <w:tr w:rsidR="00CF60E1" w14:paraId="2A6D7E0F" w14:textId="194CFE1E" w:rsidTr="00AF0A2C">
        <w:trPr>
          <w:tblCellSpacing w:w="15" w:type="dxa"/>
        </w:trPr>
        <w:tc>
          <w:tcPr>
            <w:tcW w:w="1882" w:type="dxa"/>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5B1B48F2" w14:textId="77777777" w:rsidR="00AF0A2C" w:rsidRPr="00570258" w:rsidRDefault="00000000" w:rsidP="002B5F6B">
            <w:pPr>
              <w:rPr>
                <w:b/>
                <w:bCs/>
              </w:rPr>
            </w:pPr>
            <w:r w:rsidRPr="00570258">
              <w:rPr>
                <w:b/>
                <w:bCs/>
              </w:rPr>
              <w:lastRenderedPageBreak/>
              <w:t>Strengthening leaseholders’ rights</w:t>
            </w:r>
          </w:p>
        </w:tc>
        <w:tc>
          <w:tcPr>
            <w:tcW w:w="4698" w:type="dxa"/>
            <w:tcBorders>
              <w:bottom w:val="single" w:sz="6" w:space="0" w:color="E6E6E6"/>
              <w:right w:val="single" w:sz="6" w:space="0" w:color="E6E6E6"/>
            </w:tcBorders>
            <w:tcMar>
              <w:top w:w="120" w:type="dxa"/>
              <w:left w:w="180" w:type="dxa"/>
              <w:bottom w:w="105" w:type="dxa"/>
              <w:right w:w="120" w:type="dxa"/>
            </w:tcMar>
            <w:hideMark/>
          </w:tcPr>
          <w:p w14:paraId="40CA57D0" w14:textId="77777777" w:rsidR="00AF0A2C" w:rsidRPr="00570258" w:rsidRDefault="00000000" w:rsidP="002B5F6B">
            <w:r w:rsidRPr="00570258">
              <w:t>Will the draft Bill’s proposal to end the use of forfeiture against leaseholders go far enough to redress the imbalance between leaseholders and landlords when there is a breach of covenant?</w:t>
            </w:r>
          </w:p>
        </w:tc>
        <w:tc>
          <w:tcPr>
            <w:tcW w:w="7164" w:type="dxa"/>
            <w:tcBorders>
              <w:bottom w:val="single" w:sz="6" w:space="0" w:color="E6E6E6"/>
              <w:right w:val="single" w:sz="6" w:space="0" w:color="E6E6E6"/>
            </w:tcBorders>
          </w:tcPr>
          <w:p w14:paraId="6CD5F458" w14:textId="18614AC1" w:rsidR="00AF0A2C" w:rsidRDefault="00000000" w:rsidP="002B5F6B">
            <w:r>
              <w:t>The PLA</w:t>
            </w:r>
            <w:r w:rsidRPr="00EA662E">
              <w:t xml:space="preserve"> is supportive in principle of the Bill’s intention to end the use of forfeiture for long residential leases. In practice, the ability to forfeit residential long leases is already (rightly) significantly constrained by a mixture of legislation and case law. </w:t>
            </w:r>
          </w:p>
          <w:p w14:paraId="57E3ACDE" w14:textId="77777777" w:rsidR="00AF0A2C" w:rsidRPr="00EA662E" w:rsidRDefault="00AF0A2C" w:rsidP="002B5F6B"/>
          <w:p w14:paraId="670BB4C6" w14:textId="1A02EFE6" w:rsidR="00AF0A2C" w:rsidRPr="00EA662E" w:rsidRDefault="00000000" w:rsidP="002B5F6B">
            <w:r>
              <w:lastRenderedPageBreak/>
              <w:t>The Government may</w:t>
            </w:r>
            <w:r w:rsidRPr="00EA662E">
              <w:t xml:space="preserve"> however</w:t>
            </w:r>
            <w:r>
              <w:t xml:space="preserve"> wish to reconsider the exclusion of </w:t>
            </w:r>
            <w:r w:rsidRPr="00EA662E">
              <w:t>non-payment of ground rent from the new lease enforcement process. </w:t>
            </w:r>
          </w:p>
          <w:p w14:paraId="0797EDF8" w14:textId="77777777" w:rsidR="00AF0A2C" w:rsidRDefault="00AF0A2C" w:rsidP="002B5F6B"/>
          <w:p w14:paraId="207BA151" w14:textId="4075AB13" w:rsidR="00AF0A2C" w:rsidRDefault="00000000" w:rsidP="002B5F6B">
            <w:r w:rsidRPr="00EA662E">
              <w:t xml:space="preserve">If non-payment of ground rent is excluded from the lease enforcement process landlords wishing to enforce non-payment of ground will need to do so via issuing debt recovery proceedings at court. In practice, given the level of ground rents, it will be disproportionate in many cases for landlords to issue debt recovery proceedings until a meaningful backlog has accrued, </w:t>
            </w:r>
            <w:proofErr w:type="gramStart"/>
            <w:r w:rsidRPr="00EA662E">
              <w:t>so as to</w:t>
            </w:r>
            <w:proofErr w:type="gramEnd"/>
            <w:r w:rsidRPr="00EA662E">
              <w:t xml:space="preserve"> justify the costs. </w:t>
            </w:r>
            <w:r>
              <w:t>This could ultimately make it harder to pay off ground rent arrears if they are allowed to build up.</w:t>
            </w:r>
          </w:p>
          <w:p w14:paraId="3D7981A0" w14:textId="77777777" w:rsidR="00AF0A2C" w:rsidRPr="00EA662E" w:rsidRDefault="00AF0A2C" w:rsidP="002B5F6B"/>
          <w:p w14:paraId="39BD93A6" w14:textId="3876CBD0" w:rsidR="00AF0A2C" w:rsidRDefault="00000000" w:rsidP="002B5F6B">
            <w:r>
              <w:t>There is also an increased risk of leaseholders becoming subject to CCJs where they fail to engage with court proceedings.</w:t>
            </w:r>
          </w:p>
        </w:tc>
      </w:tr>
      <w:tr w:rsidR="00CF60E1" w14:paraId="400E8D51" w14:textId="38D61D79" w:rsidTr="00AF0A2C">
        <w:trPr>
          <w:tblCellSpacing w:w="15" w:type="dxa"/>
        </w:trPr>
        <w:tc>
          <w:tcPr>
            <w:tcW w:w="1882" w:type="dxa"/>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4589E13D" w14:textId="77777777" w:rsidR="00AF0A2C" w:rsidRPr="00570258" w:rsidRDefault="00000000" w:rsidP="002B5F6B">
            <w:pPr>
              <w:rPr>
                <w:b/>
                <w:bCs/>
              </w:rPr>
            </w:pPr>
            <w:r w:rsidRPr="00570258">
              <w:rPr>
                <w:b/>
                <w:bCs/>
              </w:rPr>
              <w:lastRenderedPageBreak/>
              <w:t>Strengthening leaseholders’ rights</w:t>
            </w:r>
          </w:p>
        </w:tc>
        <w:tc>
          <w:tcPr>
            <w:tcW w:w="4698" w:type="dxa"/>
            <w:tcBorders>
              <w:bottom w:val="single" w:sz="6" w:space="0" w:color="E6E6E6"/>
              <w:right w:val="single" w:sz="6" w:space="0" w:color="E6E6E6"/>
            </w:tcBorders>
            <w:tcMar>
              <w:top w:w="120" w:type="dxa"/>
              <w:left w:w="180" w:type="dxa"/>
              <w:bottom w:w="105" w:type="dxa"/>
              <w:right w:w="120" w:type="dxa"/>
            </w:tcMar>
            <w:hideMark/>
          </w:tcPr>
          <w:p w14:paraId="5592A831" w14:textId="77777777" w:rsidR="00AF0A2C" w:rsidRPr="00570258" w:rsidRDefault="00000000" w:rsidP="002B5F6B">
            <w:r w:rsidRPr="00570258">
              <w:t>What provisions does the draft Bill include to support leaseholders faced with the cost of major works?</w:t>
            </w:r>
          </w:p>
        </w:tc>
        <w:tc>
          <w:tcPr>
            <w:tcW w:w="7164" w:type="dxa"/>
            <w:tcBorders>
              <w:bottom w:val="single" w:sz="6" w:space="0" w:color="E6E6E6"/>
              <w:right w:val="single" w:sz="6" w:space="0" w:color="E6E6E6"/>
            </w:tcBorders>
          </w:tcPr>
          <w:p w14:paraId="2DC9E609" w14:textId="77777777" w:rsidR="00AF0A2C" w:rsidRPr="00DD58FC" w:rsidRDefault="00000000" w:rsidP="00DD58FC">
            <w:pPr>
              <w:numPr>
                <w:ilvl w:val="0"/>
                <w:numId w:val="25"/>
              </w:numPr>
            </w:pPr>
            <w:r w:rsidRPr="00DD58FC">
              <w:t>The Bill aims to increase safeguards for commonhold owners by improving the transparency of the CCS – commonhold community statement – to set clear standards of repairs and improvements, ensuring the commonhold has insurance cover and requiring use of a reserve fund to help mitigate large/ surprise costs.</w:t>
            </w:r>
          </w:p>
          <w:p w14:paraId="358AB4BF" w14:textId="77777777" w:rsidR="00AF0A2C" w:rsidRPr="00DD58FC" w:rsidRDefault="00000000" w:rsidP="00DD58FC">
            <w:r w:rsidRPr="00DD58FC">
              <w:t> </w:t>
            </w:r>
          </w:p>
          <w:p w14:paraId="2544D62F" w14:textId="08D8887F" w:rsidR="00AF0A2C" w:rsidRPr="00DD58FC" w:rsidRDefault="00000000" w:rsidP="00DD58FC">
            <w:pPr>
              <w:numPr>
                <w:ilvl w:val="0"/>
                <w:numId w:val="25"/>
              </w:numPr>
            </w:pPr>
            <w:r w:rsidRPr="00DD58FC">
              <w:t>Commonholds can pay for unexpected urgent repairs by the commonhold association taking a loan or selling parts of the building or estate to raise funds.</w:t>
            </w:r>
            <w:r>
              <w:t xml:space="preserve"> However, these are obviously short term and, in many cases, “one-off” solutions, which risk increasing costs in the longer-term and there should be strict controls on when they can be deployed. We also question how, for example, the loan provisions will work when </w:t>
            </w:r>
            <w:proofErr w:type="spellStart"/>
            <w:r>
              <w:t>commonholders</w:t>
            </w:r>
            <w:proofErr w:type="spellEnd"/>
            <w:r>
              <w:t xml:space="preserve"> sell their interests? In effect, the buyer will end up having to pay back a loan for works carried out before they acquired their interest whereas the seller will potentially not have had </w:t>
            </w:r>
            <w:r>
              <w:lastRenderedPageBreak/>
              <w:t xml:space="preserve">to pay anything. There is a real risk of these provisions being abused and/or leading to disputes and preventing flat sales. </w:t>
            </w:r>
          </w:p>
          <w:p w14:paraId="5CD997E6" w14:textId="77777777" w:rsidR="00AF0A2C" w:rsidRPr="00DD58FC" w:rsidRDefault="00000000" w:rsidP="00DD58FC">
            <w:r w:rsidRPr="00DD58FC">
              <w:t> </w:t>
            </w:r>
          </w:p>
          <w:p w14:paraId="22A52FB1" w14:textId="6D41333A" w:rsidR="00AF0A2C" w:rsidRPr="00DD58FC" w:rsidRDefault="00000000" w:rsidP="00DD58FC">
            <w:pPr>
              <w:numPr>
                <w:ilvl w:val="0"/>
                <w:numId w:val="25"/>
              </w:numPr>
            </w:pPr>
            <w:r w:rsidRPr="00DD58FC">
              <w:t xml:space="preserve">Commonholds have responsibilities and procedures for ensuring that buildings are effectively maintained. The Bill aims to ensure clarity on minimum standards of repair and adhere to a standard of maintenance that will not adversely affect neighbouring members’ property. </w:t>
            </w:r>
            <w:r>
              <w:t xml:space="preserve">It is important that individual </w:t>
            </w:r>
            <w:proofErr w:type="spellStart"/>
            <w:r>
              <w:t>commonholders</w:t>
            </w:r>
            <w:proofErr w:type="spellEnd"/>
            <w:r>
              <w:t xml:space="preserve"> </w:t>
            </w:r>
            <w:proofErr w:type="gramStart"/>
            <w:r>
              <w:t>are able to</w:t>
            </w:r>
            <w:proofErr w:type="gramEnd"/>
            <w:r>
              <w:t xml:space="preserve"> enforce these provisions robustly and quickly.</w:t>
            </w:r>
          </w:p>
          <w:p w14:paraId="36236AAD" w14:textId="77777777" w:rsidR="00AF0A2C" w:rsidRPr="00DD58FC" w:rsidRDefault="00000000" w:rsidP="00DD58FC">
            <w:r w:rsidRPr="00DD58FC">
              <w:t> </w:t>
            </w:r>
          </w:p>
          <w:p w14:paraId="07C02C5E" w14:textId="77777777" w:rsidR="00AF0A2C" w:rsidRPr="00DD58FC" w:rsidRDefault="00000000" w:rsidP="00DD58FC">
            <w:pPr>
              <w:numPr>
                <w:ilvl w:val="0"/>
                <w:numId w:val="25"/>
              </w:numPr>
            </w:pPr>
            <w:r w:rsidRPr="00DD58FC">
              <w:t xml:space="preserve">The Bill makes it mandatory for commonhold associations to establish a reserve fund, to plan for major works and finance these through smaller more manageable contributions over time, rather than through large one-off bills. </w:t>
            </w:r>
          </w:p>
          <w:p w14:paraId="7272CA7E" w14:textId="77777777" w:rsidR="00AF0A2C" w:rsidRPr="00DD58FC" w:rsidRDefault="00000000" w:rsidP="00DD58FC">
            <w:r w:rsidRPr="00DD58FC">
              <w:t> </w:t>
            </w:r>
          </w:p>
          <w:p w14:paraId="38CF3464" w14:textId="1134B34E" w:rsidR="00AF0A2C" w:rsidRPr="00DD58FC" w:rsidRDefault="00000000" w:rsidP="00DD58FC">
            <w:pPr>
              <w:numPr>
                <w:ilvl w:val="0"/>
                <w:numId w:val="25"/>
              </w:numPr>
            </w:pPr>
            <w:r w:rsidRPr="00DD58FC">
              <w:t>This encourages major repair and replacement activity to be planned. A periodic reserve fund study will be a requirement, to help inform commonholds of works and assess the level of contribution needed. Reserve funds will be held on statutory trust, so that they can only be used by the commonhold association to comply with obligations in relation to the CCS. Specific reserve funds will be established for needs and will be flexible enough to borrow from or change the purpose of funds subject to approval of the members and the Tribunal.</w:t>
            </w:r>
            <w:r>
              <w:t xml:space="preserve"> There is inevitably a risk that </w:t>
            </w:r>
            <w:proofErr w:type="spellStart"/>
            <w:r>
              <w:t>commonholders</w:t>
            </w:r>
            <w:proofErr w:type="spellEnd"/>
            <w:r>
              <w:t xml:space="preserve"> are tempted to reduce reserve fund contributions </w:t>
            </w:r>
            <w:proofErr w:type="gramStart"/>
            <w:r>
              <w:t>in order to</w:t>
            </w:r>
            <w:proofErr w:type="gramEnd"/>
            <w:r>
              <w:t xml:space="preserve"> reduce costs in the short term and it is important that the legislation imposes strict controls on this. </w:t>
            </w:r>
          </w:p>
          <w:p w14:paraId="0019BA79" w14:textId="77777777" w:rsidR="00AF0A2C" w:rsidRPr="00DD58FC" w:rsidRDefault="00000000" w:rsidP="00DD58FC">
            <w:r w:rsidRPr="00DD58FC">
              <w:t> </w:t>
            </w:r>
          </w:p>
          <w:p w14:paraId="09358074" w14:textId="77777777" w:rsidR="00AF0A2C" w:rsidRDefault="00AF0A2C" w:rsidP="002B5F6B"/>
        </w:tc>
      </w:tr>
      <w:tr w:rsidR="00CF60E1" w14:paraId="3F5784E2" w14:textId="648D9F48" w:rsidTr="00AF0A2C">
        <w:trPr>
          <w:tblCellSpacing w:w="15" w:type="dxa"/>
        </w:trPr>
        <w:tc>
          <w:tcPr>
            <w:tcW w:w="1882" w:type="dxa"/>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09503FDC" w14:textId="77777777" w:rsidR="00AF0A2C" w:rsidRPr="00570258" w:rsidRDefault="00000000" w:rsidP="002B5F6B">
            <w:pPr>
              <w:rPr>
                <w:b/>
                <w:bCs/>
              </w:rPr>
            </w:pPr>
            <w:r w:rsidRPr="00570258">
              <w:rPr>
                <w:b/>
                <w:bCs/>
              </w:rPr>
              <w:lastRenderedPageBreak/>
              <w:t>Strengthening leaseholders’ rights</w:t>
            </w:r>
          </w:p>
        </w:tc>
        <w:tc>
          <w:tcPr>
            <w:tcW w:w="4698" w:type="dxa"/>
            <w:tcBorders>
              <w:bottom w:val="single" w:sz="6" w:space="0" w:color="E6E6E6"/>
              <w:right w:val="single" w:sz="6" w:space="0" w:color="E6E6E6"/>
            </w:tcBorders>
            <w:tcMar>
              <w:top w:w="120" w:type="dxa"/>
              <w:left w:w="180" w:type="dxa"/>
              <w:bottom w:w="105" w:type="dxa"/>
              <w:right w:w="120" w:type="dxa"/>
            </w:tcMar>
            <w:hideMark/>
          </w:tcPr>
          <w:p w14:paraId="66AE8FD2" w14:textId="77777777" w:rsidR="00AF0A2C" w:rsidRPr="00570258" w:rsidRDefault="00000000" w:rsidP="002B5F6B">
            <w:r w:rsidRPr="00570258">
              <w:t>Should provisions implementing the remaining Law Commission recommendations on leasehold enfranchisement and the right to manage be included in the final version of this Bill?</w:t>
            </w:r>
          </w:p>
        </w:tc>
        <w:tc>
          <w:tcPr>
            <w:tcW w:w="7164" w:type="dxa"/>
            <w:tcBorders>
              <w:bottom w:val="single" w:sz="6" w:space="0" w:color="E6E6E6"/>
              <w:right w:val="single" w:sz="6" w:space="0" w:color="E6E6E6"/>
            </w:tcBorders>
          </w:tcPr>
          <w:p w14:paraId="083EB160" w14:textId="2FA0E89F" w:rsidR="00AF0A2C" w:rsidRDefault="00000000" w:rsidP="002B5F6B">
            <w:r>
              <w:t>The Bill is already complex and makes sweeping changes to property law in the residential sector.  In addition, much of the detail is still to be fleshed out in regulations.</w:t>
            </w:r>
          </w:p>
          <w:p w14:paraId="50DC4547" w14:textId="77777777" w:rsidR="00AF0A2C" w:rsidRDefault="00AF0A2C" w:rsidP="002B5F6B"/>
          <w:p w14:paraId="28246F64" w14:textId="169F5EC8" w:rsidR="00AF0A2C" w:rsidRPr="00570258" w:rsidRDefault="00000000" w:rsidP="002B5F6B">
            <w:r>
              <w:t>The PLA would not support adding further complexity by seeking to include further recommendations within the Bill.</w:t>
            </w:r>
          </w:p>
        </w:tc>
      </w:tr>
      <w:tr w:rsidR="00CF60E1" w14:paraId="6C1A1324" w14:textId="18D207D4" w:rsidTr="00AF0A2C">
        <w:trPr>
          <w:tblCellSpacing w:w="15" w:type="dxa"/>
        </w:trPr>
        <w:tc>
          <w:tcPr>
            <w:tcW w:w="1882" w:type="dxa"/>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1B91A773" w14:textId="77777777" w:rsidR="00AF0A2C" w:rsidRPr="00570258" w:rsidRDefault="00000000" w:rsidP="002B5F6B">
            <w:pPr>
              <w:rPr>
                <w:b/>
                <w:bCs/>
              </w:rPr>
            </w:pPr>
            <w:r w:rsidRPr="00570258">
              <w:rPr>
                <w:b/>
                <w:bCs/>
              </w:rPr>
              <w:t>Strengthening leaseholders’ rights</w:t>
            </w:r>
          </w:p>
        </w:tc>
        <w:tc>
          <w:tcPr>
            <w:tcW w:w="4698" w:type="dxa"/>
            <w:tcBorders>
              <w:bottom w:val="single" w:sz="6" w:space="0" w:color="E6E6E6"/>
              <w:right w:val="single" w:sz="6" w:space="0" w:color="E6E6E6"/>
            </w:tcBorders>
            <w:tcMar>
              <w:top w:w="120" w:type="dxa"/>
              <w:left w:w="180" w:type="dxa"/>
              <w:bottom w:w="105" w:type="dxa"/>
              <w:right w:w="120" w:type="dxa"/>
            </w:tcMar>
            <w:hideMark/>
          </w:tcPr>
          <w:p w14:paraId="3DD195FC" w14:textId="77777777" w:rsidR="00AF0A2C" w:rsidRPr="00570258" w:rsidRDefault="00000000" w:rsidP="002B5F6B">
            <w:r w:rsidRPr="00570258">
              <w:t>How could changes to the draft Bill make enfranchisement more affordable, including by enabling leaseholders to avoid paying ‘development value’?</w:t>
            </w:r>
          </w:p>
        </w:tc>
        <w:tc>
          <w:tcPr>
            <w:tcW w:w="7164" w:type="dxa"/>
            <w:tcBorders>
              <w:bottom w:val="single" w:sz="6" w:space="0" w:color="E6E6E6"/>
              <w:right w:val="single" w:sz="6" w:space="0" w:color="E6E6E6"/>
            </w:tcBorders>
          </w:tcPr>
          <w:p w14:paraId="4C8301D8" w14:textId="5B1C6F33" w:rsidR="00AF0A2C" w:rsidRPr="00570258" w:rsidRDefault="00000000" w:rsidP="002B5F6B">
            <w:r>
              <w:t>It is not clear why the Bill would seek to do this. Changes the enfranchisement process have been enacted through LAFRA 2024. It would be confusing for further changes to now be implemented through this Bill.</w:t>
            </w:r>
          </w:p>
        </w:tc>
      </w:tr>
      <w:tr w:rsidR="00CF60E1" w14:paraId="790C89D4" w14:textId="58EA8D4A" w:rsidTr="00AF0A2C">
        <w:trPr>
          <w:tblCellSpacing w:w="15" w:type="dxa"/>
        </w:trPr>
        <w:tc>
          <w:tcPr>
            <w:tcW w:w="1882" w:type="dxa"/>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3F5D2B50" w14:textId="77777777" w:rsidR="00AF0A2C" w:rsidRPr="00570258" w:rsidRDefault="00000000" w:rsidP="002B5F6B">
            <w:pPr>
              <w:rPr>
                <w:b/>
                <w:bCs/>
              </w:rPr>
            </w:pPr>
            <w:r w:rsidRPr="00570258">
              <w:rPr>
                <w:b/>
                <w:bCs/>
              </w:rPr>
              <w:t>Strengthening leaseholders’ rights</w:t>
            </w:r>
          </w:p>
        </w:tc>
        <w:tc>
          <w:tcPr>
            <w:tcW w:w="4698" w:type="dxa"/>
            <w:tcBorders>
              <w:bottom w:val="single" w:sz="6" w:space="0" w:color="E6E6E6"/>
              <w:right w:val="single" w:sz="6" w:space="0" w:color="E6E6E6"/>
            </w:tcBorders>
            <w:tcMar>
              <w:top w:w="120" w:type="dxa"/>
              <w:left w:w="180" w:type="dxa"/>
              <w:bottom w:w="105" w:type="dxa"/>
              <w:right w:w="120" w:type="dxa"/>
            </w:tcMar>
            <w:hideMark/>
          </w:tcPr>
          <w:p w14:paraId="745370CE" w14:textId="77777777" w:rsidR="00AF0A2C" w:rsidRPr="00570258" w:rsidRDefault="00000000" w:rsidP="002B5F6B">
            <w:r w:rsidRPr="00570258">
              <w:t>Should provisions implementing the remaining recommendations of the Regulation of Property Agents: Working Group be included in the final version of this Bill?</w:t>
            </w:r>
          </w:p>
        </w:tc>
        <w:tc>
          <w:tcPr>
            <w:tcW w:w="7164" w:type="dxa"/>
            <w:tcBorders>
              <w:bottom w:val="single" w:sz="6" w:space="0" w:color="E6E6E6"/>
              <w:right w:val="single" w:sz="6" w:space="0" w:color="E6E6E6"/>
            </w:tcBorders>
          </w:tcPr>
          <w:p w14:paraId="393B3736" w14:textId="0C91DDD4" w:rsidR="00AF0A2C" w:rsidRPr="00570258" w:rsidRDefault="00000000" w:rsidP="002B5F6B">
            <w:r w:rsidRPr="004B3A2D">
              <w:t>As above, given the scale of changes already being made and the fact that this Bill relates to reforms to leasehold and commonhold, it does not appear to be the proper place to implement these changes, which are much broader in scope and will be relevant to many more stakeholders (not least, property agents in all sectors).</w:t>
            </w:r>
          </w:p>
        </w:tc>
      </w:tr>
      <w:tr w:rsidR="00CF60E1" w14:paraId="651693B0" w14:textId="2FC1D89A" w:rsidTr="00AF0A2C">
        <w:trPr>
          <w:tblCellSpacing w:w="15" w:type="dxa"/>
        </w:trPr>
        <w:tc>
          <w:tcPr>
            <w:tcW w:w="1882" w:type="dxa"/>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71107310" w14:textId="77777777" w:rsidR="00AF0A2C" w:rsidRPr="00570258" w:rsidRDefault="00000000" w:rsidP="002B5F6B">
            <w:pPr>
              <w:rPr>
                <w:b/>
                <w:bCs/>
              </w:rPr>
            </w:pPr>
            <w:r w:rsidRPr="00570258">
              <w:rPr>
                <w:b/>
                <w:bCs/>
              </w:rPr>
              <w:t>Privately managed housing estates</w:t>
            </w:r>
          </w:p>
        </w:tc>
        <w:tc>
          <w:tcPr>
            <w:tcW w:w="4698" w:type="dxa"/>
            <w:tcBorders>
              <w:bottom w:val="single" w:sz="6" w:space="0" w:color="E6E6E6"/>
              <w:right w:val="single" w:sz="6" w:space="0" w:color="E6E6E6"/>
            </w:tcBorders>
            <w:tcMar>
              <w:top w:w="120" w:type="dxa"/>
              <w:left w:w="180" w:type="dxa"/>
              <w:bottom w:w="105" w:type="dxa"/>
              <w:right w:w="120" w:type="dxa"/>
            </w:tcMar>
            <w:hideMark/>
          </w:tcPr>
          <w:p w14:paraId="1F1B2021" w14:textId="77777777" w:rsidR="00AF0A2C" w:rsidRPr="00570258" w:rsidRDefault="00000000" w:rsidP="002B5F6B">
            <w:r w:rsidRPr="00570258">
              <w:t>What new protections does the draft Bill offer to freehold property owners on private ‘</w:t>
            </w:r>
            <w:proofErr w:type="spellStart"/>
            <w:r w:rsidRPr="00570258">
              <w:t>fleecehold</w:t>
            </w:r>
            <w:proofErr w:type="spellEnd"/>
            <w:r w:rsidRPr="00570258">
              <w:t>’ estates?</w:t>
            </w:r>
          </w:p>
        </w:tc>
        <w:tc>
          <w:tcPr>
            <w:tcW w:w="7164" w:type="dxa"/>
            <w:tcBorders>
              <w:bottom w:val="single" w:sz="6" w:space="0" w:color="E6E6E6"/>
              <w:right w:val="single" w:sz="6" w:space="0" w:color="E6E6E6"/>
            </w:tcBorders>
          </w:tcPr>
          <w:p w14:paraId="3A9F5873" w14:textId="58AF11BC" w:rsidR="00AF0A2C" w:rsidRPr="00570258" w:rsidRDefault="00000000" w:rsidP="002B5F6B">
            <w:r>
              <w:t>The term “</w:t>
            </w:r>
            <w:proofErr w:type="spellStart"/>
            <w:r>
              <w:t>fleecehold</w:t>
            </w:r>
            <w:proofErr w:type="spellEnd"/>
            <w:r>
              <w:t xml:space="preserve">” appears unnecessarily inflammatory in the context of Government backed legislation. It appears that what is being referred to here is structures whereby freeholders are required to contribute to the maintenance of common facilities within their private estates (for example gardens areas or unadopted roads). Ultimately, unless local authorities are going to assume responsibility for maintenance of these areas (which in most cases they do have the resources to do), it is a fact that they do need to be maintained. It is also difficult to see who, other than the freeholders of the individual properties, should be responsible for the costs of this. Controls can and should be put into place to ensure that costs are reasonable and that freeholders </w:t>
            </w:r>
            <w:proofErr w:type="gramStart"/>
            <w:r>
              <w:t>have the ability to</w:t>
            </w:r>
            <w:proofErr w:type="gramEnd"/>
            <w:r>
              <w:t xml:space="preserve"> challenge unreasonable costs (as leaseholders </w:t>
            </w:r>
            <w:r>
              <w:lastRenderedPageBreak/>
              <w:t xml:space="preserve">currently do), however, those who chose to purchase properties on private freehold estates must expect to be liable for the reasonable and proper costs of maintaining those estates. However, clearly it is important that they </w:t>
            </w:r>
            <w:proofErr w:type="gramStart"/>
            <w:r>
              <w:t>enter into</w:t>
            </w:r>
            <w:proofErr w:type="gramEnd"/>
            <w:r>
              <w:t xml:space="preserve"> these obligations with a proper understanding of what they entail.</w:t>
            </w:r>
          </w:p>
        </w:tc>
      </w:tr>
      <w:tr w:rsidR="00CF60E1" w14:paraId="7A2F7661" w14:textId="0E10F8B7" w:rsidTr="00AF0A2C">
        <w:trPr>
          <w:tblCellSpacing w:w="15" w:type="dxa"/>
        </w:trPr>
        <w:tc>
          <w:tcPr>
            <w:tcW w:w="1882" w:type="dxa"/>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2E2CC3D8" w14:textId="77777777" w:rsidR="00AF0A2C" w:rsidRPr="00570258" w:rsidRDefault="00000000" w:rsidP="002B5F6B">
            <w:pPr>
              <w:rPr>
                <w:b/>
                <w:bCs/>
              </w:rPr>
            </w:pPr>
            <w:r w:rsidRPr="00570258">
              <w:rPr>
                <w:b/>
                <w:bCs/>
              </w:rPr>
              <w:lastRenderedPageBreak/>
              <w:t>Privately managed housing estates</w:t>
            </w:r>
          </w:p>
        </w:tc>
        <w:tc>
          <w:tcPr>
            <w:tcW w:w="4698" w:type="dxa"/>
            <w:tcBorders>
              <w:bottom w:val="single" w:sz="6" w:space="0" w:color="E6E6E6"/>
              <w:right w:val="single" w:sz="6" w:space="0" w:color="E6E6E6"/>
            </w:tcBorders>
            <w:tcMar>
              <w:top w:w="120" w:type="dxa"/>
              <w:left w:w="180" w:type="dxa"/>
              <w:bottom w:w="105" w:type="dxa"/>
              <w:right w:w="120" w:type="dxa"/>
            </w:tcMar>
            <w:hideMark/>
          </w:tcPr>
          <w:p w14:paraId="06620772" w14:textId="77777777" w:rsidR="00AF0A2C" w:rsidRPr="00570258" w:rsidRDefault="00000000" w:rsidP="002B5F6B">
            <w:r w:rsidRPr="00570258">
              <w:t>How could the draft Bill go further towards the Government’s commitment to “bring unfair costs to an end” on ‘</w:t>
            </w:r>
            <w:proofErr w:type="spellStart"/>
            <w:r w:rsidRPr="00570258">
              <w:t>fleecehold</w:t>
            </w:r>
            <w:proofErr w:type="spellEnd"/>
            <w:r w:rsidRPr="00570258">
              <w:t>’ estates?</w:t>
            </w:r>
          </w:p>
        </w:tc>
        <w:tc>
          <w:tcPr>
            <w:tcW w:w="7164" w:type="dxa"/>
            <w:tcBorders>
              <w:bottom w:val="single" w:sz="6" w:space="0" w:color="E6E6E6"/>
              <w:right w:val="single" w:sz="6" w:space="0" w:color="E6E6E6"/>
            </w:tcBorders>
          </w:tcPr>
          <w:p w14:paraId="3C223C27" w14:textId="7C34E276" w:rsidR="00AF0A2C" w:rsidRPr="00570258" w:rsidRDefault="00000000" w:rsidP="002B5F6B">
            <w:r>
              <w:t>See above response</w:t>
            </w:r>
          </w:p>
        </w:tc>
      </w:tr>
      <w:tr w:rsidR="00CF60E1" w14:paraId="52A550A2" w14:textId="086A7C70" w:rsidTr="00AF0A2C">
        <w:trPr>
          <w:tblCellSpacing w:w="15" w:type="dxa"/>
        </w:trPr>
        <w:tc>
          <w:tcPr>
            <w:tcW w:w="1882" w:type="dxa"/>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09DD5ADB" w14:textId="77777777" w:rsidR="00AF0A2C" w:rsidRPr="00570258" w:rsidRDefault="00000000" w:rsidP="002B5F6B">
            <w:pPr>
              <w:rPr>
                <w:b/>
                <w:bCs/>
              </w:rPr>
            </w:pPr>
            <w:r w:rsidRPr="00570258">
              <w:rPr>
                <w:b/>
                <w:bCs/>
              </w:rPr>
              <w:t>Commonhold – conversion &amp; operation</w:t>
            </w:r>
          </w:p>
        </w:tc>
        <w:tc>
          <w:tcPr>
            <w:tcW w:w="4698" w:type="dxa"/>
            <w:tcBorders>
              <w:bottom w:val="single" w:sz="6" w:space="0" w:color="E6E6E6"/>
              <w:right w:val="single" w:sz="6" w:space="0" w:color="E6E6E6"/>
            </w:tcBorders>
            <w:tcMar>
              <w:top w:w="120" w:type="dxa"/>
              <w:left w:w="180" w:type="dxa"/>
              <w:bottom w:w="105" w:type="dxa"/>
              <w:right w:w="120" w:type="dxa"/>
            </w:tcMar>
            <w:hideMark/>
          </w:tcPr>
          <w:p w14:paraId="0BF34187" w14:textId="77777777" w:rsidR="00AF0A2C" w:rsidRPr="00570258" w:rsidRDefault="00000000" w:rsidP="002B5F6B">
            <w:r w:rsidRPr="00570258">
              <w:t>Does the draft Bill establish converting to commonhold as an achievable option for ordinary leaseholders?</w:t>
            </w:r>
          </w:p>
        </w:tc>
        <w:tc>
          <w:tcPr>
            <w:tcW w:w="7164" w:type="dxa"/>
            <w:tcBorders>
              <w:bottom w:val="single" w:sz="6" w:space="0" w:color="E6E6E6"/>
              <w:right w:val="single" w:sz="6" w:space="0" w:color="E6E6E6"/>
            </w:tcBorders>
          </w:tcPr>
          <w:p w14:paraId="714406D8" w14:textId="7C305668" w:rsidR="00AF0A2C" w:rsidRDefault="00000000" w:rsidP="002B5F6B">
            <w:r w:rsidRPr="007C4D33">
              <w:t xml:space="preserve">The draft Bill </w:t>
            </w:r>
            <w:r>
              <w:t xml:space="preserve">should </w:t>
            </w:r>
            <w:r w:rsidRPr="007C4D33">
              <w:t>make conversion to commonhold a realistically achievable option for ordinary leaseholders by addressing the most significant historic obstacle: unanimity. Reducing the consent threshold to 50% makes conversion feasible in typical residential blocks. The Bill also introduces a practical framework for non</w:t>
            </w:r>
            <w:r w:rsidRPr="007C4D33">
              <w:rPr>
                <w:rFonts w:ascii="Cambria Math" w:hAnsi="Cambria Math" w:cs="Cambria Math"/>
              </w:rPr>
              <w:t>‑</w:t>
            </w:r>
            <w:r w:rsidRPr="007C4D33">
              <w:t>consenting leaseholders, allowing leases to subsist on a transitional basis while progressively aligning rights and obligations with commonhold governance and providing for their eventual phas</w:t>
            </w:r>
            <w:r>
              <w:t>ing</w:t>
            </w:r>
            <w:r w:rsidRPr="007C4D33">
              <w:rPr>
                <w:rFonts w:ascii="Cambria Math" w:hAnsi="Cambria Math" w:cs="Cambria Math"/>
              </w:rPr>
              <w:t>‑</w:t>
            </w:r>
            <w:r w:rsidRPr="007C4D33">
              <w:t xml:space="preserve">out. </w:t>
            </w:r>
            <w:r>
              <w:t xml:space="preserve">However, we are concerned about how feasible this is in practice. The idea that the leases of non-consenting leaseholders will be “aligned” to the Commonhold Community Statement is a vague one and it seems wrong in principle that non-consenting leaseholders will nonetheless be required to accept changes to their property rights. The idea that conversion to commonhold will be mandatory on sale or lease extension could also prevent leaseholders from selling or extending their leases where they cannot, at that time, afford to pay the premium (to buy out the landlord’s leaseback) </w:t>
            </w:r>
            <w:proofErr w:type="gramStart"/>
            <w:r>
              <w:t>in order to</w:t>
            </w:r>
            <w:proofErr w:type="gramEnd"/>
            <w:r>
              <w:t xml:space="preserve"> convert to commonhold. </w:t>
            </w:r>
          </w:p>
          <w:p w14:paraId="59C77A03" w14:textId="77777777" w:rsidR="00AF0A2C" w:rsidRDefault="00AF0A2C" w:rsidP="002B5F6B"/>
          <w:p w14:paraId="7834871C" w14:textId="2358C3F3" w:rsidR="00AF0A2C" w:rsidRDefault="00000000" w:rsidP="002B5F6B">
            <w:r w:rsidRPr="007C4D33">
              <w:t xml:space="preserve">However, conversion is not unconstrained. It remains dependent on the prior satisfaction of the requirements for collective enfranchisement, which </w:t>
            </w:r>
            <w:r w:rsidRPr="007C4D33">
              <w:lastRenderedPageBreak/>
              <w:t>continue to operate as a necessary gateway step. Those enfranchisement conditions therefore remain of paramount importance in determining whether conversion is achievable in practice</w:t>
            </w:r>
            <w:r>
              <w:t xml:space="preserve">. </w:t>
            </w:r>
          </w:p>
        </w:tc>
      </w:tr>
      <w:tr w:rsidR="00CF60E1" w14:paraId="0650CDC1" w14:textId="123046BE" w:rsidTr="00AF0A2C">
        <w:trPr>
          <w:tblCellSpacing w:w="15" w:type="dxa"/>
        </w:trPr>
        <w:tc>
          <w:tcPr>
            <w:tcW w:w="1882" w:type="dxa"/>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2B13332A" w14:textId="77777777" w:rsidR="00AF0A2C" w:rsidRPr="00570258" w:rsidRDefault="00000000" w:rsidP="002B5F6B">
            <w:pPr>
              <w:rPr>
                <w:b/>
                <w:bCs/>
              </w:rPr>
            </w:pPr>
            <w:r w:rsidRPr="00570258">
              <w:rPr>
                <w:b/>
                <w:bCs/>
              </w:rPr>
              <w:lastRenderedPageBreak/>
              <w:t>Commonhold – conversion &amp; operation</w:t>
            </w:r>
          </w:p>
        </w:tc>
        <w:tc>
          <w:tcPr>
            <w:tcW w:w="4698" w:type="dxa"/>
            <w:tcBorders>
              <w:bottom w:val="single" w:sz="6" w:space="0" w:color="E6E6E6"/>
              <w:right w:val="single" w:sz="6" w:space="0" w:color="E6E6E6"/>
            </w:tcBorders>
            <w:tcMar>
              <w:top w:w="120" w:type="dxa"/>
              <w:left w:w="180" w:type="dxa"/>
              <w:bottom w:w="105" w:type="dxa"/>
              <w:right w:w="120" w:type="dxa"/>
            </w:tcMar>
            <w:hideMark/>
          </w:tcPr>
          <w:p w14:paraId="1A9EA3B5" w14:textId="77777777" w:rsidR="00AF0A2C" w:rsidRPr="00570258" w:rsidRDefault="00000000" w:rsidP="002B5F6B">
            <w:r w:rsidRPr="00570258">
              <w:t>How does the draft Bill allow for commonholds to be flexible and tailored to suit the needs of all development types?</w:t>
            </w:r>
          </w:p>
        </w:tc>
        <w:tc>
          <w:tcPr>
            <w:tcW w:w="7164" w:type="dxa"/>
            <w:tcBorders>
              <w:bottom w:val="single" w:sz="6" w:space="0" w:color="E6E6E6"/>
              <w:right w:val="single" w:sz="6" w:space="0" w:color="E6E6E6"/>
            </w:tcBorders>
          </w:tcPr>
          <w:p w14:paraId="676D060A" w14:textId="439E1A03" w:rsidR="00AF0A2C" w:rsidRDefault="00000000" w:rsidP="002B5F6B">
            <w:r w:rsidRPr="00E07A55">
              <w:t xml:space="preserve">The draft Bill enables commonholds to be flexible and tailored by combining standardisation with </w:t>
            </w:r>
            <w:r>
              <w:t>specific</w:t>
            </w:r>
            <w:r w:rsidRPr="00E07A55">
              <w:t xml:space="preserve"> local </w:t>
            </w:r>
            <w:r>
              <w:t>rules</w:t>
            </w:r>
            <w:r w:rsidRPr="00E07A55">
              <w:t xml:space="preserve">. A core, standardised </w:t>
            </w:r>
            <w:r>
              <w:t>"</w:t>
            </w:r>
            <w:r w:rsidRPr="00E07A55">
              <w:t>Commonhold Community Statement</w:t>
            </w:r>
            <w:r>
              <w:t>"</w:t>
            </w:r>
            <w:r w:rsidRPr="00E07A55">
              <w:t xml:space="preserve"> </w:t>
            </w:r>
            <w:r>
              <w:t>would apply</w:t>
            </w:r>
            <w:r w:rsidRPr="00E07A55">
              <w:t xml:space="preserve"> across all developments, while allowing locally tailored rules to reflect the needs of </w:t>
            </w:r>
            <w:proofErr w:type="gramStart"/>
            <w:r w:rsidRPr="00E07A55">
              <w:t xml:space="preserve">particular </w:t>
            </w:r>
            <w:r>
              <w:t>developments</w:t>
            </w:r>
            <w:proofErr w:type="gramEnd"/>
            <w:r w:rsidRPr="00E07A55">
              <w:t>. The Bill introduces “sections” and separate heads of costs, enabling mixed</w:t>
            </w:r>
            <w:r w:rsidRPr="00E07A55">
              <w:rPr>
                <w:rFonts w:ascii="Cambria Math" w:hAnsi="Cambria Math" w:cs="Cambria Math"/>
              </w:rPr>
              <w:t>‑</w:t>
            </w:r>
            <w:r w:rsidRPr="00E07A55">
              <w:t xml:space="preserve">use and complex developments to align voting, management and financial responsibility with use and benefit. </w:t>
            </w:r>
            <w:r>
              <w:t xml:space="preserve">However, it remains unclear how workable these provisions will be in the context large developments where there a mixture of services provided on a </w:t>
            </w:r>
            <w:proofErr w:type="gramStart"/>
            <w:r>
              <w:t>block by block</w:t>
            </w:r>
            <w:proofErr w:type="gramEnd"/>
            <w:r>
              <w:t xml:space="preserve"> vs estate-wide level. </w:t>
            </w:r>
          </w:p>
          <w:p w14:paraId="5C8DAE6F" w14:textId="77777777" w:rsidR="00AF0A2C" w:rsidRDefault="00AF0A2C" w:rsidP="002B5F6B"/>
          <w:p w14:paraId="6116AD61" w14:textId="4269BB61" w:rsidR="00AF0A2C" w:rsidRDefault="00000000" w:rsidP="002B5F6B">
            <w:r>
              <w:t>We note that d</w:t>
            </w:r>
            <w:r w:rsidRPr="00E07A55">
              <w:t xml:space="preserve">evelopers are </w:t>
            </w:r>
            <w:r>
              <w:t xml:space="preserve">to be </w:t>
            </w:r>
            <w:r w:rsidRPr="00E07A55">
              <w:t xml:space="preserve">given flexible development rights to support phased or large schemes, subject to safeguards and tribunal oversight. The Bill also permits shared ownership and specialist finance products within commonhold, </w:t>
            </w:r>
            <w:r>
              <w:t xml:space="preserve">which should </w:t>
            </w:r>
            <w:r w:rsidRPr="00E07A55">
              <w:t xml:space="preserve">broaden its suitability for affordable and specialist housing. Extensive delegated powers </w:t>
            </w:r>
            <w:r>
              <w:t xml:space="preserve">should also </w:t>
            </w:r>
            <w:r w:rsidRPr="00E07A55">
              <w:t>allow regulations to adapt the regime over time for different development types.</w:t>
            </w:r>
            <w:r>
              <w:t xml:space="preserve"> Again, further detail on delegated powers would be welcome.</w:t>
            </w:r>
          </w:p>
        </w:tc>
      </w:tr>
      <w:tr w:rsidR="00CF60E1" w14:paraId="2D0F1564" w14:textId="3E065195" w:rsidTr="00AF0A2C">
        <w:trPr>
          <w:tblCellSpacing w:w="15" w:type="dxa"/>
        </w:trPr>
        <w:tc>
          <w:tcPr>
            <w:tcW w:w="1882" w:type="dxa"/>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64F20960" w14:textId="77777777" w:rsidR="00AF0A2C" w:rsidRPr="00570258" w:rsidRDefault="00000000" w:rsidP="002B5F6B">
            <w:pPr>
              <w:rPr>
                <w:b/>
                <w:bCs/>
              </w:rPr>
            </w:pPr>
            <w:r w:rsidRPr="00570258">
              <w:rPr>
                <w:b/>
                <w:bCs/>
              </w:rPr>
              <w:t>Commonhold – conversion &amp; operation</w:t>
            </w:r>
          </w:p>
        </w:tc>
        <w:tc>
          <w:tcPr>
            <w:tcW w:w="4698" w:type="dxa"/>
            <w:tcBorders>
              <w:bottom w:val="single" w:sz="6" w:space="0" w:color="E6E6E6"/>
              <w:right w:val="single" w:sz="6" w:space="0" w:color="E6E6E6"/>
            </w:tcBorders>
            <w:tcMar>
              <w:top w:w="120" w:type="dxa"/>
              <w:left w:w="180" w:type="dxa"/>
              <w:bottom w:w="105" w:type="dxa"/>
              <w:right w:w="120" w:type="dxa"/>
            </w:tcMar>
            <w:hideMark/>
          </w:tcPr>
          <w:p w14:paraId="345EA4C8" w14:textId="77777777" w:rsidR="00AF0A2C" w:rsidRPr="00570258" w:rsidRDefault="00000000" w:rsidP="002B5F6B">
            <w:r w:rsidRPr="00570258">
              <w:t>What framework does the draft Bill establish for ensuring fair collective decision</w:t>
            </w:r>
            <w:r w:rsidRPr="00570258">
              <w:noBreakHyphen/>
              <w:t>making in commonhold associations?</w:t>
            </w:r>
          </w:p>
        </w:tc>
        <w:tc>
          <w:tcPr>
            <w:tcW w:w="7164" w:type="dxa"/>
            <w:tcBorders>
              <w:bottom w:val="single" w:sz="6" w:space="0" w:color="E6E6E6"/>
              <w:right w:val="single" w:sz="6" w:space="0" w:color="E6E6E6"/>
            </w:tcBorders>
          </w:tcPr>
          <w:p w14:paraId="137497D3" w14:textId="57AE5961" w:rsidR="00AF0A2C" w:rsidRDefault="00000000" w:rsidP="002B5F6B">
            <w:r w:rsidRPr="008D59CA">
              <w:t xml:space="preserve">The draft bill envisages that the leases of non-participating leaseholders will be “aligned” with the Commonhold Community Statement (CCS). However, the Bill is entirely lacking in detail as to how this will operate in practice. As a matter of principle, given that non-participating leaseholders have, by definition, chosen to retain their leases rather than become part of the commonhold, it seems wrong as a matter of principle that those leases are then “re-written” without their consent. It is also very unclear what this means </w:t>
            </w:r>
            <w:r w:rsidRPr="008D59CA">
              <w:lastRenderedPageBreak/>
              <w:t>in practice</w:t>
            </w:r>
            <w:r>
              <w:t>. The PLA’s view is that these are points of critical importance and they should be addressed in the Bill itself as opposed to being left over for regulations in due course.</w:t>
            </w:r>
          </w:p>
        </w:tc>
      </w:tr>
      <w:tr w:rsidR="00CF60E1" w14:paraId="4C74AB67" w14:textId="7AF13332" w:rsidTr="00AF0A2C">
        <w:trPr>
          <w:tblCellSpacing w:w="15" w:type="dxa"/>
        </w:trPr>
        <w:tc>
          <w:tcPr>
            <w:tcW w:w="1882" w:type="dxa"/>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36B45B12" w14:textId="77777777" w:rsidR="00AF0A2C" w:rsidRPr="00570258" w:rsidRDefault="00000000" w:rsidP="002B5F6B">
            <w:pPr>
              <w:rPr>
                <w:b/>
                <w:bCs/>
              </w:rPr>
            </w:pPr>
            <w:r w:rsidRPr="00570258">
              <w:rPr>
                <w:b/>
                <w:bCs/>
              </w:rPr>
              <w:lastRenderedPageBreak/>
              <w:t>Commonhold – conversion &amp; operation</w:t>
            </w:r>
          </w:p>
        </w:tc>
        <w:tc>
          <w:tcPr>
            <w:tcW w:w="4698" w:type="dxa"/>
            <w:tcBorders>
              <w:bottom w:val="single" w:sz="6" w:space="0" w:color="E6E6E6"/>
              <w:right w:val="single" w:sz="6" w:space="0" w:color="E6E6E6"/>
            </w:tcBorders>
            <w:tcMar>
              <w:top w:w="120" w:type="dxa"/>
              <w:left w:w="180" w:type="dxa"/>
              <w:bottom w:w="105" w:type="dxa"/>
              <w:right w:w="120" w:type="dxa"/>
            </w:tcMar>
            <w:hideMark/>
          </w:tcPr>
          <w:p w14:paraId="40168ECA" w14:textId="77777777" w:rsidR="00AF0A2C" w:rsidRPr="00570258" w:rsidRDefault="00000000" w:rsidP="002B5F6B">
            <w:r w:rsidRPr="00570258">
              <w:t>Are the mechanisms for dispute resolution sufficiently robust to address potential disputes which may arise within commonhold associations?</w:t>
            </w:r>
          </w:p>
        </w:tc>
        <w:tc>
          <w:tcPr>
            <w:tcW w:w="7164" w:type="dxa"/>
            <w:tcBorders>
              <w:bottom w:val="single" w:sz="6" w:space="0" w:color="E6E6E6"/>
              <w:right w:val="single" w:sz="6" w:space="0" w:color="E6E6E6"/>
            </w:tcBorders>
          </w:tcPr>
          <w:p w14:paraId="7260A7FB" w14:textId="77777777" w:rsidR="00AF0A2C" w:rsidRDefault="00AF0A2C" w:rsidP="002B5F6B"/>
          <w:p w14:paraId="0119452B" w14:textId="77777777" w:rsidR="00AF0A2C" w:rsidRDefault="00000000" w:rsidP="002B5F6B">
            <w:r w:rsidRPr="00B14108">
              <w:t xml:space="preserve">Yes, in broad terms the draft Bill provides sufficiently robust mechanisms to address most disputes likely to arise within commonhold associations. It prioritises dispute minimisation through a standardised </w:t>
            </w:r>
            <w:r>
              <w:t>"</w:t>
            </w:r>
            <w:r w:rsidRPr="00B14108">
              <w:t>Commonhold Community Statement</w:t>
            </w:r>
            <w:r>
              <w:t>"</w:t>
            </w:r>
            <w:r w:rsidRPr="00B14108">
              <w:t xml:space="preserve"> and clearer governance rules on budgeting, reserve funds, voting and sections, reducing ambiguity at source. </w:t>
            </w:r>
          </w:p>
          <w:p w14:paraId="417F3533" w14:textId="77777777" w:rsidR="00AF0A2C" w:rsidRDefault="00AF0A2C" w:rsidP="002B5F6B"/>
          <w:p w14:paraId="4828B04F" w14:textId="77777777" w:rsidR="00AF0A2C" w:rsidRDefault="00000000" w:rsidP="002B5F6B">
            <w:r w:rsidRPr="00B14108">
              <w:t xml:space="preserve">Where disputes do arise, targeted Tribunal powers </w:t>
            </w:r>
            <w:r>
              <w:t xml:space="preserve">should </w:t>
            </w:r>
            <w:r w:rsidRPr="00B14108">
              <w:t>act as proportionate backstops, particularly for governance failure, financial transparency and mixed</w:t>
            </w:r>
            <w:r w:rsidRPr="00B14108">
              <w:rPr>
                <w:rFonts w:ascii="Cambria Math" w:hAnsi="Cambria Math" w:cs="Cambria Math"/>
              </w:rPr>
              <w:t>‑</w:t>
            </w:r>
            <w:r w:rsidRPr="00B14108">
              <w:t xml:space="preserve">use </w:t>
            </w:r>
            <w:r>
              <w:t xml:space="preserve">costs </w:t>
            </w:r>
            <w:r w:rsidRPr="00B14108">
              <w:t>apportionment</w:t>
            </w:r>
            <w:r>
              <w:t>s</w:t>
            </w:r>
            <w:r w:rsidRPr="00B14108">
              <w:t xml:space="preserve">. </w:t>
            </w:r>
          </w:p>
          <w:p w14:paraId="5C009047" w14:textId="77777777" w:rsidR="00AF0A2C" w:rsidRDefault="00AF0A2C" w:rsidP="002B5F6B"/>
          <w:p w14:paraId="1245F230" w14:textId="1CABDBDF" w:rsidR="00AF0A2C" w:rsidRDefault="00000000" w:rsidP="002B5F6B">
            <w:r>
              <w:t>Tribunal</w:t>
            </w:r>
            <w:r w:rsidRPr="00B14108">
              <w:rPr>
                <w:rFonts w:ascii="Cambria Math" w:hAnsi="Cambria Math" w:cs="Cambria Math"/>
              </w:rPr>
              <w:t>‑</w:t>
            </w:r>
            <w:r w:rsidRPr="00B14108">
              <w:t xml:space="preserve">supervised enforcement of arrears </w:t>
            </w:r>
            <w:r>
              <w:t>also appears to be</w:t>
            </w:r>
            <w:r w:rsidRPr="00B14108">
              <w:t xml:space="preserve"> firmer than ordinary debt recovery while avoiding the bluntness of leasehold forfeiture. That said, overall robustness will depend on implementation: notably whether staged ADR is embedded</w:t>
            </w:r>
            <w:r>
              <w:t xml:space="preserve"> into this process</w:t>
            </w:r>
            <w:r w:rsidRPr="00B14108">
              <w:t>,</w:t>
            </w:r>
            <w:r>
              <w:t xml:space="preserve"> and</w:t>
            </w:r>
            <w:r w:rsidRPr="00B14108">
              <w:t xml:space="preserve"> </w:t>
            </w:r>
            <w:r>
              <w:t>whether T</w:t>
            </w:r>
            <w:r w:rsidRPr="00B14108">
              <w:t>ribunal capacity is adequat</w:t>
            </w:r>
            <w:r>
              <w:t xml:space="preserve">e to accommodate the potentially large volume of referrals made </w:t>
            </w:r>
            <w:proofErr w:type="gramStart"/>
            <w:r>
              <w:t>as a result of</w:t>
            </w:r>
            <w:proofErr w:type="gramEnd"/>
            <w:r>
              <w:t xml:space="preserve"> the new system</w:t>
            </w:r>
            <w:r w:rsidRPr="00B14108">
              <w:t>.</w:t>
            </w:r>
          </w:p>
        </w:tc>
      </w:tr>
      <w:tr w:rsidR="00CF60E1" w14:paraId="0C0DEAC6" w14:textId="2068DA01" w:rsidTr="00AF0A2C">
        <w:trPr>
          <w:tblCellSpacing w:w="15" w:type="dxa"/>
        </w:trPr>
        <w:tc>
          <w:tcPr>
            <w:tcW w:w="1882" w:type="dxa"/>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32E06A6E" w14:textId="77777777" w:rsidR="00AF0A2C" w:rsidRPr="00570258" w:rsidRDefault="00000000" w:rsidP="002B5F6B">
            <w:pPr>
              <w:rPr>
                <w:b/>
                <w:bCs/>
              </w:rPr>
            </w:pPr>
            <w:r w:rsidRPr="00570258">
              <w:rPr>
                <w:b/>
                <w:bCs/>
              </w:rPr>
              <w:t>Commonhold – conversion &amp; operation</w:t>
            </w:r>
          </w:p>
        </w:tc>
        <w:tc>
          <w:tcPr>
            <w:tcW w:w="4698" w:type="dxa"/>
            <w:tcBorders>
              <w:bottom w:val="single" w:sz="6" w:space="0" w:color="E6E6E6"/>
              <w:right w:val="single" w:sz="6" w:space="0" w:color="E6E6E6"/>
            </w:tcBorders>
            <w:tcMar>
              <w:top w:w="120" w:type="dxa"/>
              <w:left w:w="180" w:type="dxa"/>
              <w:bottom w:w="105" w:type="dxa"/>
              <w:right w:w="120" w:type="dxa"/>
            </w:tcMar>
            <w:hideMark/>
          </w:tcPr>
          <w:p w14:paraId="665FD9E5" w14:textId="77777777" w:rsidR="00AF0A2C" w:rsidRPr="00570258" w:rsidRDefault="00000000" w:rsidP="002B5F6B">
            <w:r w:rsidRPr="00570258">
              <w:t>Does the draft Bill’s definition of permitted leases ensure shared owners and owners with lease</w:t>
            </w:r>
            <w:r w:rsidRPr="00570258">
              <w:noBreakHyphen/>
              <w:t>based home purchase plans are fully included under the commonhold model?</w:t>
            </w:r>
          </w:p>
        </w:tc>
        <w:tc>
          <w:tcPr>
            <w:tcW w:w="7164" w:type="dxa"/>
            <w:tcBorders>
              <w:bottom w:val="single" w:sz="6" w:space="0" w:color="E6E6E6"/>
              <w:right w:val="single" w:sz="6" w:space="0" w:color="E6E6E6"/>
            </w:tcBorders>
          </w:tcPr>
          <w:p w14:paraId="71802589" w14:textId="5B4A4AE9" w:rsidR="00AF0A2C" w:rsidRPr="00570258" w:rsidRDefault="00AF0A2C" w:rsidP="002B5F6B"/>
        </w:tc>
      </w:tr>
      <w:tr w:rsidR="00CF60E1" w14:paraId="7A4BAF96" w14:textId="5C2CFC6B" w:rsidTr="00AF0A2C">
        <w:trPr>
          <w:tblCellSpacing w:w="15" w:type="dxa"/>
        </w:trPr>
        <w:tc>
          <w:tcPr>
            <w:tcW w:w="1882" w:type="dxa"/>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0CF46049" w14:textId="77777777" w:rsidR="00AF0A2C" w:rsidRPr="00570258" w:rsidRDefault="00000000" w:rsidP="002B5F6B">
            <w:pPr>
              <w:rPr>
                <w:b/>
                <w:bCs/>
              </w:rPr>
            </w:pPr>
            <w:r w:rsidRPr="00570258">
              <w:rPr>
                <w:b/>
                <w:bCs/>
              </w:rPr>
              <w:lastRenderedPageBreak/>
              <w:t>Commonhold – conversion &amp; operation</w:t>
            </w:r>
          </w:p>
        </w:tc>
        <w:tc>
          <w:tcPr>
            <w:tcW w:w="4698" w:type="dxa"/>
            <w:tcBorders>
              <w:bottom w:val="single" w:sz="6" w:space="0" w:color="E6E6E6"/>
              <w:right w:val="single" w:sz="6" w:space="0" w:color="E6E6E6"/>
            </w:tcBorders>
            <w:tcMar>
              <w:top w:w="120" w:type="dxa"/>
              <w:left w:w="180" w:type="dxa"/>
              <w:bottom w:w="105" w:type="dxa"/>
              <w:right w:w="120" w:type="dxa"/>
            </w:tcMar>
            <w:hideMark/>
          </w:tcPr>
          <w:p w14:paraId="161E8665" w14:textId="77777777" w:rsidR="00AF0A2C" w:rsidRPr="00570258" w:rsidRDefault="00000000" w:rsidP="002B5F6B">
            <w:r w:rsidRPr="00570258">
              <w:t>What would be the consequences of converting to commonhold for leaseholders in blocks with building safety defects?</w:t>
            </w:r>
          </w:p>
        </w:tc>
        <w:tc>
          <w:tcPr>
            <w:tcW w:w="7164" w:type="dxa"/>
            <w:tcBorders>
              <w:bottom w:val="single" w:sz="6" w:space="0" w:color="E6E6E6"/>
              <w:right w:val="single" w:sz="6" w:space="0" w:color="E6E6E6"/>
            </w:tcBorders>
          </w:tcPr>
          <w:p w14:paraId="46658384" w14:textId="77777777" w:rsidR="00AF0A2C" w:rsidRDefault="00000000" w:rsidP="002B5F6B">
            <w:r w:rsidRPr="008D59CA">
              <w:t xml:space="preserve">It is clear from the Bill that its effect will be that the commonhold association will become the Principal Accountable Person for the building under the Building Safety Act. The obligations imposed on the Principal Accountable Person are extensive and include obligations to actively manage and address building safety risks - including carrying out remedial works were required to remedy building safety defects. Although there are routes whereby the Commonhold Association may be able to seek funding contributions either from the government or from other parties, the reality is that these processes are costly and time consuming (for example, securing funding contributions from third parties invariably involves litigation). Even if funding can be secured, the process of </w:t>
            </w:r>
            <w:proofErr w:type="gramStart"/>
            <w:r w:rsidRPr="008D59CA">
              <w:t>actually implementing</w:t>
            </w:r>
            <w:proofErr w:type="gramEnd"/>
            <w:r w:rsidRPr="008D59CA">
              <w:t xml:space="preserve"> the required works can be enormously complex.</w:t>
            </w:r>
          </w:p>
          <w:p w14:paraId="4059CC4F" w14:textId="77777777" w:rsidR="00AF0A2C" w:rsidRDefault="00AF0A2C" w:rsidP="002B5F6B"/>
          <w:p w14:paraId="44DC7441" w14:textId="7E966EEC" w:rsidR="00AF0A2C" w:rsidRDefault="00000000" w:rsidP="002B5F6B">
            <w:r>
              <w:t xml:space="preserve">If </w:t>
            </w:r>
            <w:proofErr w:type="spellStart"/>
            <w:r>
              <w:t>commonholders</w:t>
            </w:r>
            <w:proofErr w:type="spellEnd"/>
            <w:r>
              <w:t xml:space="preserve"> are going to assume these obligations, it is vital that they understand fully what is entailed before choosing to commit to the commonhold conversion process. </w:t>
            </w:r>
          </w:p>
        </w:tc>
      </w:tr>
      <w:tr w:rsidR="00CF60E1" w14:paraId="4A202117" w14:textId="5864C438" w:rsidTr="00AF0A2C">
        <w:trPr>
          <w:tblCellSpacing w:w="15" w:type="dxa"/>
        </w:trPr>
        <w:tc>
          <w:tcPr>
            <w:tcW w:w="1882" w:type="dxa"/>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449C0E12" w14:textId="77777777" w:rsidR="00AF0A2C" w:rsidRPr="00570258" w:rsidRDefault="00000000" w:rsidP="002B5F6B">
            <w:pPr>
              <w:rPr>
                <w:b/>
                <w:bCs/>
              </w:rPr>
            </w:pPr>
            <w:r w:rsidRPr="00570258">
              <w:rPr>
                <w:b/>
                <w:bCs/>
              </w:rPr>
              <w:t>Banning new leasehold flats &amp; making commonhold default</w:t>
            </w:r>
          </w:p>
        </w:tc>
        <w:tc>
          <w:tcPr>
            <w:tcW w:w="4698" w:type="dxa"/>
            <w:tcBorders>
              <w:bottom w:val="single" w:sz="6" w:space="0" w:color="E6E6E6"/>
              <w:right w:val="single" w:sz="6" w:space="0" w:color="E6E6E6"/>
            </w:tcBorders>
            <w:tcMar>
              <w:top w:w="120" w:type="dxa"/>
              <w:left w:w="180" w:type="dxa"/>
              <w:bottom w:w="105" w:type="dxa"/>
              <w:right w:w="120" w:type="dxa"/>
            </w:tcMar>
            <w:hideMark/>
          </w:tcPr>
          <w:p w14:paraId="31D496B1" w14:textId="77777777" w:rsidR="00AF0A2C" w:rsidRPr="00570258" w:rsidRDefault="00000000" w:rsidP="002B5F6B">
            <w:r w:rsidRPr="00570258">
              <w:t>What is a realistic timeline to ban the sale of new leasehold flats?</w:t>
            </w:r>
          </w:p>
        </w:tc>
        <w:tc>
          <w:tcPr>
            <w:tcW w:w="7164" w:type="dxa"/>
            <w:tcBorders>
              <w:bottom w:val="single" w:sz="6" w:space="0" w:color="E6E6E6"/>
              <w:right w:val="single" w:sz="6" w:space="0" w:color="E6E6E6"/>
            </w:tcBorders>
          </w:tcPr>
          <w:p w14:paraId="2CC873AF" w14:textId="77777777" w:rsidR="00AF0A2C" w:rsidRPr="00570258" w:rsidRDefault="00AF0A2C" w:rsidP="002B5F6B"/>
        </w:tc>
      </w:tr>
      <w:tr w:rsidR="00CF60E1" w14:paraId="75459B9F" w14:textId="210AC429" w:rsidTr="00AF0A2C">
        <w:trPr>
          <w:tblCellSpacing w:w="15" w:type="dxa"/>
        </w:trPr>
        <w:tc>
          <w:tcPr>
            <w:tcW w:w="1882" w:type="dxa"/>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4DA24FDD" w14:textId="77777777" w:rsidR="00AF0A2C" w:rsidRPr="00570258" w:rsidRDefault="00000000" w:rsidP="002B5F6B">
            <w:pPr>
              <w:rPr>
                <w:b/>
                <w:bCs/>
              </w:rPr>
            </w:pPr>
            <w:r w:rsidRPr="00570258">
              <w:rPr>
                <w:b/>
                <w:bCs/>
              </w:rPr>
              <w:t>Banning new leasehold flats &amp; making commonhold default</w:t>
            </w:r>
          </w:p>
        </w:tc>
        <w:tc>
          <w:tcPr>
            <w:tcW w:w="4698" w:type="dxa"/>
            <w:tcBorders>
              <w:bottom w:val="single" w:sz="6" w:space="0" w:color="E6E6E6"/>
              <w:right w:val="single" w:sz="6" w:space="0" w:color="E6E6E6"/>
            </w:tcBorders>
            <w:tcMar>
              <w:top w:w="120" w:type="dxa"/>
              <w:left w:w="180" w:type="dxa"/>
              <w:bottom w:w="105" w:type="dxa"/>
              <w:right w:w="120" w:type="dxa"/>
            </w:tcMar>
            <w:hideMark/>
          </w:tcPr>
          <w:p w14:paraId="66DEA953" w14:textId="77777777" w:rsidR="00AF0A2C" w:rsidRPr="00570258" w:rsidRDefault="00000000" w:rsidP="002B5F6B">
            <w:r w:rsidRPr="00570258">
              <w:t>What are the possible impacts of the draft Bill on the property sector, including property values and housing supply?</w:t>
            </w:r>
          </w:p>
        </w:tc>
        <w:tc>
          <w:tcPr>
            <w:tcW w:w="7164" w:type="dxa"/>
            <w:tcBorders>
              <w:bottom w:val="single" w:sz="6" w:space="0" w:color="E6E6E6"/>
              <w:right w:val="single" w:sz="6" w:space="0" w:color="E6E6E6"/>
            </w:tcBorders>
          </w:tcPr>
          <w:p w14:paraId="35142C97" w14:textId="77777777" w:rsidR="00AF0A2C" w:rsidRPr="00570258" w:rsidRDefault="00AF0A2C" w:rsidP="002B5F6B"/>
        </w:tc>
      </w:tr>
      <w:tr w:rsidR="00CF60E1" w14:paraId="0049BAAB" w14:textId="61FF7292" w:rsidTr="00AF0A2C">
        <w:trPr>
          <w:tblCellSpacing w:w="15" w:type="dxa"/>
        </w:trPr>
        <w:tc>
          <w:tcPr>
            <w:tcW w:w="1882" w:type="dxa"/>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0A700E5D" w14:textId="77777777" w:rsidR="00AF0A2C" w:rsidRPr="00570258" w:rsidRDefault="00000000" w:rsidP="002B5F6B">
            <w:pPr>
              <w:rPr>
                <w:b/>
                <w:bCs/>
              </w:rPr>
            </w:pPr>
            <w:r w:rsidRPr="00570258">
              <w:rPr>
                <w:b/>
                <w:bCs/>
              </w:rPr>
              <w:lastRenderedPageBreak/>
              <w:t>Banning new leasehold flats &amp; making commonhold default</w:t>
            </w:r>
          </w:p>
        </w:tc>
        <w:tc>
          <w:tcPr>
            <w:tcW w:w="4698" w:type="dxa"/>
            <w:tcBorders>
              <w:bottom w:val="single" w:sz="6" w:space="0" w:color="E6E6E6"/>
              <w:right w:val="single" w:sz="6" w:space="0" w:color="E6E6E6"/>
            </w:tcBorders>
            <w:tcMar>
              <w:top w:w="120" w:type="dxa"/>
              <w:left w:w="180" w:type="dxa"/>
              <w:bottom w:w="105" w:type="dxa"/>
              <w:right w:w="120" w:type="dxa"/>
            </w:tcMar>
            <w:hideMark/>
          </w:tcPr>
          <w:p w14:paraId="07E3B2F8" w14:textId="77777777" w:rsidR="00AF0A2C" w:rsidRPr="00570258" w:rsidRDefault="00000000" w:rsidP="002B5F6B">
            <w:r w:rsidRPr="00570258">
              <w:t>Do the provisions in the draft Bill improve confidence in commonhold across the property sector?</w:t>
            </w:r>
          </w:p>
        </w:tc>
        <w:tc>
          <w:tcPr>
            <w:tcW w:w="7164" w:type="dxa"/>
            <w:tcBorders>
              <w:bottom w:val="single" w:sz="6" w:space="0" w:color="E6E6E6"/>
              <w:right w:val="single" w:sz="6" w:space="0" w:color="E6E6E6"/>
            </w:tcBorders>
          </w:tcPr>
          <w:p w14:paraId="1FDB4373" w14:textId="0103DA66" w:rsidR="00AF0A2C" w:rsidRPr="00570258" w:rsidRDefault="00000000" w:rsidP="002B5F6B">
            <w:r>
              <w:t xml:space="preserve">This remains to be seen. We are concerned </w:t>
            </w:r>
            <w:proofErr w:type="gramStart"/>
            <w:r>
              <w:t>in particular that</w:t>
            </w:r>
            <w:proofErr w:type="gramEnd"/>
            <w:r>
              <w:t xml:space="preserve"> much of the important detail around the </w:t>
            </w:r>
            <w:proofErr w:type="gramStart"/>
            <w:r>
              <w:t>day to day</w:t>
            </w:r>
            <w:proofErr w:type="gramEnd"/>
            <w:r>
              <w:t xml:space="preserve"> operation of commonhold is to be left for regulations in due course. If these regulations are not properly thought-</w:t>
            </w:r>
            <w:proofErr w:type="gramStart"/>
            <w:r>
              <w:t>through</w:t>
            </w:r>
            <w:proofErr w:type="gramEnd"/>
            <w:r>
              <w:t xml:space="preserve"> then the entire system could be unworkable on a </w:t>
            </w:r>
            <w:proofErr w:type="gramStart"/>
            <w:r>
              <w:t>day to day</w:t>
            </w:r>
            <w:proofErr w:type="gramEnd"/>
            <w:r>
              <w:t xml:space="preserve"> basis. As such, we would favour a rigorous process of consultation on any regulations before the Bill is bought into force.</w:t>
            </w:r>
          </w:p>
        </w:tc>
      </w:tr>
      <w:tr w:rsidR="00CF60E1" w14:paraId="3ABE69FC" w14:textId="39B768A5" w:rsidTr="00AF0A2C">
        <w:trPr>
          <w:tblCellSpacing w:w="15" w:type="dxa"/>
        </w:trPr>
        <w:tc>
          <w:tcPr>
            <w:tcW w:w="1882" w:type="dxa"/>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278AE0E1" w14:textId="77777777" w:rsidR="00AF0A2C" w:rsidRPr="00570258" w:rsidRDefault="00000000" w:rsidP="002B5F6B">
            <w:pPr>
              <w:rPr>
                <w:b/>
                <w:bCs/>
              </w:rPr>
            </w:pPr>
            <w:r w:rsidRPr="00570258">
              <w:rPr>
                <w:b/>
                <w:bCs/>
              </w:rPr>
              <w:t>Implementation</w:t>
            </w:r>
          </w:p>
        </w:tc>
        <w:tc>
          <w:tcPr>
            <w:tcW w:w="4698" w:type="dxa"/>
            <w:tcBorders>
              <w:bottom w:val="single" w:sz="6" w:space="0" w:color="E6E6E6"/>
              <w:right w:val="single" w:sz="6" w:space="0" w:color="E6E6E6"/>
            </w:tcBorders>
            <w:tcMar>
              <w:top w:w="120" w:type="dxa"/>
              <w:left w:w="180" w:type="dxa"/>
              <w:bottom w:w="105" w:type="dxa"/>
              <w:right w:w="120" w:type="dxa"/>
            </w:tcMar>
            <w:hideMark/>
          </w:tcPr>
          <w:p w14:paraId="15E1D868" w14:textId="77777777" w:rsidR="00AF0A2C" w:rsidRPr="00570258" w:rsidRDefault="00000000" w:rsidP="002B5F6B">
            <w:r w:rsidRPr="00570258">
              <w:t>What would be a reasonable timeline to implement the provisions in the draft Bill? What deadlines would the Government need to meet in the interim?</w:t>
            </w:r>
          </w:p>
        </w:tc>
        <w:tc>
          <w:tcPr>
            <w:tcW w:w="7164" w:type="dxa"/>
            <w:tcBorders>
              <w:bottom w:val="single" w:sz="6" w:space="0" w:color="E6E6E6"/>
              <w:right w:val="single" w:sz="6" w:space="0" w:color="E6E6E6"/>
            </w:tcBorders>
          </w:tcPr>
          <w:p w14:paraId="4C3661ED" w14:textId="5B7C9883" w:rsidR="00AF0A2C" w:rsidRPr="00570258" w:rsidRDefault="00000000" w:rsidP="002B5F6B">
            <w:r>
              <w:t xml:space="preserve">As above, our view is that the Bill cannot (and should not) be bought into force until </w:t>
            </w:r>
            <w:proofErr w:type="gramStart"/>
            <w:r>
              <w:t>all of</w:t>
            </w:r>
            <w:proofErr w:type="gramEnd"/>
            <w:r>
              <w:t xml:space="preserve"> the detail currently reserved for regulations has been worked through and rigorously consulted upon. </w:t>
            </w:r>
          </w:p>
        </w:tc>
      </w:tr>
      <w:tr w:rsidR="00CF60E1" w14:paraId="1685D9D7" w14:textId="5D578EB9" w:rsidTr="00AF0A2C">
        <w:trPr>
          <w:tblCellSpacing w:w="15" w:type="dxa"/>
        </w:trPr>
        <w:tc>
          <w:tcPr>
            <w:tcW w:w="1882" w:type="dxa"/>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35F4BA5F" w14:textId="77777777" w:rsidR="00AF0A2C" w:rsidRPr="00570258" w:rsidRDefault="00000000" w:rsidP="002B5F6B">
            <w:pPr>
              <w:rPr>
                <w:b/>
                <w:bCs/>
              </w:rPr>
            </w:pPr>
            <w:r w:rsidRPr="00570258">
              <w:rPr>
                <w:b/>
                <w:bCs/>
              </w:rPr>
              <w:t>Implementation</w:t>
            </w:r>
          </w:p>
        </w:tc>
        <w:tc>
          <w:tcPr>
            <w:tcW w:w="4698" w:type="dxa"/>
            <w:tcBorders>
              <w:bottom w:val="single" w:sz="6" w:space="0" w:color="E6E6E6"/>
              <w:right w:val="single" w:sz="6" w:space="0" w:color="E6E6E6"/>
            </w:tcBorders>
            <w:tcMar>
              <w:top w:w="120" w:type="dxa"/>
              <w:left w:w="180" w:type="dxa"/>
              <w:bottom w:w="105" w:type="dxa"/>
              <w:right w:w="120" w:type="dxa"/>
            </w:tcMar>
            <w:hideMark/>
          </w:tcPr>
          <w:p w14:paraId="089E8F7A" w14:textId="77777777" w:rsidR="00AF0A2C" w:rsidRPr="00570258" w:rsidRDefault="00000000" w:rsidP="002B5F6B">
            <w:r w:rsidRPr="00570258">
              <w:t>How would the provisions in the draft Bill interact with existing legislation, including the Leasehold and Freehold Reform Act 2024? Might there be any unintended consequences and, if so, how should those risks be mitigated?</w:t>
            </w:r>
          </w:p>
        </w:tc>
        <w:tc>
          <w:tcPr>
            <w:tcW w:w="7164" w:type="dxa"/>
            <w:tcBorders>
              <w:bottom w:val="single" w:sz="6" w:space="0" w:color="E6E6E6"/>
              <w:right w:val="single" w:sz="6" w:space="0" w:color="E6E6E6"/>
            </w:tcBorders>
          </w:tcPr>
          <w:p w14:paraId="030B2FF2" w14:textId="6FF6EE87" w:rsidR="00AF0A2C" w:rsidRDefault="00000000" w:rsidP="002B5F6B">
            <w:r>
              <w:t xml:space="preserve">It appears that, on at least one interpretation, the Bill would (from the perspective of landlords) compound the impacts of LAFRA 2024 as the effect of the ground rent cap will be to further reduce the term value element of the premium payable on enfranchisement (given that this involves a capitalisation of the ground rents which would otherwise be payable to the landlord for the remainder of the term). It is not clear whether this is intended, as it appears that the Government has considered the impacts of LAFRA 2024 and the Bill separately, whereas in fact these are impacts which should be considered cumulatively </w:t>
            </w:r>
            <w:proofErr w:type="gramStart"/>
            <w:r>
              <w:t>in order to</w:t>
            </w:r>
            <w:proofErr w:type="gramEnd"/>
            <w:r>
              <w:t xml:space="preserve"> understand the full economic impact on the property industry.</w:t>
            </w:r>
          </w:p>
        </w:tc>
      </w:tr>
      <w:tr w:rsidR="00CF60E1" w14:paraId="7BF365C0" w14:textId="5F3AF722" w:rsidTr="00AF0A2C">
        <w:trPr>
          <w:tblCellSpacing w:w="15" w:type="dxa"/>
        </w:trPr>
        <w:tc>
          <w:tcPr>
            <w:tcW w:w="1882" w:type="dxa"/>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2802D20B" w14:textId="77777777" w:rsidR="00AF0A2C" w:rsidRPr="00570258" w:rsidRDefault="00000000" w:rsidP="002B5F6B">
            <w:pPr>
              <w:rPr>
                <w:b/>
                <w:bCs/>
              </w:rPr>
            </w:pPr>
            <w:r w:rsidRPr="00570258">
              <w:rPr>
                <w:b/>
                <w:bCs/>
              </w:rPr>
              <w:t>Implementation</w:t>
            </w:r>
          </w:p>
        </w:tc>
        <w:tc>
          <w:tcPr>
            <w:tcW w:w="4698" w:type="dxa"/>
            <w:tcBorders>
              <w:bottom w:val="single" w:sz="6" w:space="0" w:color="E6E6E6"/>
              <w:right w:val="single" w:sz="6" w:space="0" w:color="E6E6E6"/>
            </w:tcBorders>
            <w:tcMar>
              <w:top w:w="120" w:type="dxa"/>
              <w:left w:w="180" w:type="dxa"/>
              <w:bottom w:w="105" w:type="dxa"/>
              <w:right w:w="120" w:type="dxa"/>
            </w:tcMar>
            <w:hideMark/>
          </w:tcPr>
          <w:p w14:paraId="0F40A7AC" w14:textId="77777777" w:rsidR="00AF0A2C" w:rsidRPr="00570258" w:rsidRDefault="00000000" w:rsidP="002B5F6B">
            <w:r w:rsidRPr="00570258">
              <w:t>How have delays to the implementation of the Leasehold and Freehold Reform Act 2024 informed the provisions of the draft Bill? What lessons have been learnt to ensure the new legislation may be implemented without delay?</w:t>
            </w:r>
          </w:p>
        </w:tc>
        <w:tc>
          <w:tcPr>
            <w:tcW w:w="7164" w:type="dxa"/>
            <w:tcBorders>
              <w:bottom w:val="single" w:sz="6" w:space="0" w:color="E6E6E6"/>
              <w:right w:val="single" w:sz="6" w:space="0" w:color="E6E6E6"/>
            </w:tcBorders>
          </w:tcPr>
          <w:p w14:paraId="7427B13C" w14:textId="77777777" w:rsidR="00AF0A2C" w:rsidRPr="00570258" w:rsidRDefault="00AF0A2C" w:rsidP="002B5F6B"/>
        </w:tc>
      </w:tr>
      <w:tr w:rsidR="00CF60E1" w14:paraId="745C57B5" w14:textId="31C7527E" w:rsidTr="00AF0A2C">
        <w:trPr>
          <w:tblCellSpacing w:w="15" w:type="dxa"/>
        </w:trPr>
        <w:tc>
          <w:tcPr>
            <w:tcW w:w="1882" w:type="dxa"/>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43938052" w14:textId="77777777" w:rsidR="00AF0A2C" w:rsidRPr="00570258" w:rsidRDefault="00000000" w:rsidP="002B5F6B">
            <w:pPr>
              <w:rPr>
                <w:b/>
                <w:bCs/>
              </w:rPr>
            </w:pPr>
            <w:r w:rsidRPr="00570258">
              <w:rPr>
                <w:b/>
                <w:bCs/>
              </w:rPr>
              <w:lastRenderedPageBreak/>
              <w:t>Final questions</w:t>
            </w:r>
          </w:p>
        </w:tc>
        <w:tc>
          <w:tcPr>
            <w:tcW w:w="4698" w:type="dxa"/>
            <w:tcBorders>
              <w:bottom w:val="single" w:sz="6" w:space="0" w:color="E6E6E6"/>
              <w:right w:val="single" w:sz="6" w:space="0" w:color="E6E6E6"/>
            </w:tcBorders>
            <w:tcMar>
              <w:top w:w="120" w:type="dxa"/>
              <w:left w:w="180" w:type="dxa"/>
              <w:bottom w:w="90" w:type="dxa"/>
              <w:right w:w="120" w:type="dxa"/>
            </w:tcMar>
            <w:hideMark/>
          </w:tcPr>
          <w:p w14:paraId="0CAE9026" w14:textId="77777777" w:rsidR="00AF0A2C" w:rsidRPr="00570258" w:rsidRDefault="00000000" w:rsidP="002B5F6B">
            <w:r w:rsidRPr="00570258">
              <w:t>Are there any additions you would like to see to the draft Bill?</w:t>
            </w:r>
          </w:p>
        </w:tc>
        <w:tc>
          <w:tcPr>
            <w:tcW w:w="7164" w:type="dxa"/>
            <w:tcBorders>
              <w:bottom w:val="single" w:sz="6" w:space="0" w:color="E6E6E6"/>
              <w:right w:val="single" w:sz="6" w:space="0" w:color="E6E6E6"/>
            </w:tcBorders>
          </w:tcPr>
          <w:p w14:paraId="46B483D0" w14:textId="2A1C7CED" w:rsidR="00AF0A2C" w:rsidRPr="00570258" w:rsidRDefault="00000000" w:rsidP="002B5F6B">
            <w:r>
              <w:t xml:space="preserve">Please refer to our comments within individual responses above. </w:t>
            </w:r>
          </w:p>
        </w:tc>
      </w:tr>
    </w:tbl>
    <w:p w14:paraId="4754257A" w14:textId="77777777" w:rsidR="00F903F3" w:rsidRPr="00570258" w:rsidRDefault="00F903F3" w:rsidP="00570258"/>
    <w:sectPr w:rsidR="00F903F3" w:rsidRPr="00570258" w:rsidSect="00570258">
      <w:headerReference w:type="default" r:id="rId11"/>
      <w:footerReference w:type="even" r:id="rId12"/>
      <w:footerReference w:type="default" r:id="rId13"/>
      <w:footerReference w:type="first" r:id="rId14"/>
      <w:pgSz w:w="16840" w:h="11907" w:orient="landscape" w:code="9"/>
      <w:pgMar w:top="1418" w:right="992" w:bottom="1418"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6D725" w14:textId="77777777" w:rsidR="001D6E00" w:rsidRDefault="001D6E00">
      <w:pPr>
        <w:spacing w:line="240" w:lineRule="auto"/>
      </w:pPr>
      <w:r>
        <w:separator/>
      </w:r>
    </w:p>
  </w:endnote>
  <w:endnote w:type="continuationSeparator" w:id="0">
    <w:p w14:paraId="4D6F2964" w14:textId="77777777" w:rsidR="001D6E00" w:rsidRDefault="001D6E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604020202020204"/>
    <w:charset w:val="00"/>
    <w:family w:val="roman"/>
    <w:notTrueType/>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C914" w14:textId="10BBB32D" w:rsidR="00A47B87" w:rsidRPr="00D6066C" w:rsidRDefault="00000000" w:rsidP="00D6066C">
    <w:pPr>
      <w:pStyle w:val="Footer"/>
      <w:tabs>
        <w:tab w:val="clear" w:pos="4536"/>
        <w:tab w:val="clear" w:pos="9072"/>
        <w:tab w:val="right" w:pos="8787"/>
      </w:tabs>
    </w:pPr>
    <w:sdt>
      <w:sdtPr>
        <w:rPr>
          <w:szCs w:val="14"/>
        </w:rPr>
        <w:tag w:val="cciManRef"/>
        <w:id w:val="981581381"/>
        <w:lock w:val="sdtLocked"/>
        <w:dataBinding w:prefixMappings="xmlns:hs='urn:HerbertSmith.Office.Word.Global'" w:xpath="//hs:root/iManRef" w:storeItemID="{757F7A50-909F-4C9C-BC36-9B696B52CEF4}"/>
        <w:text/>
      </w:sdtPr>
      <w:sdtContent>
        <w:r>
          <w:rPr>
            <w:szCs w:val="14"/>
          </w:rPr>
          <w:t>GBR02/116665139_1</w:t>
        </w:r>
      </w:sdtContent>
    </w:sdt>
    <w:r>
      <w:ptab w:relativeTo="margin" w:alignment="right" w:leader="none"/>
    </w:r>
    <w:r w:rsidR="00D6066C">
      <w:fldChar w:fldCharType="begin"/>
    </w:r>
    <w:r w:rsidR="00D6066C">
      <w:rPr>
        <w:rStyle w:val="HeaderChar"/>
        <w:szCs w:val="14"/>
      </w:rPr>
      <w:instrText xml:space="preserve"> PAGE \* MERGEFORMAT </w:instrText>
    </w:r>
    <w:r w:rsidR="00D6066C">
      <w:fldChar w:fldCharType="separate"/>
    </w:r>
    <w:r w:rsidR="00D6066C">
      <w:rPr>
        <w:rStyle w:val="HeaderChar"/>
        <w:noProof/>
        <w:szCs w:val="14"/>
      </w:rPr>
      <w:t>2</w:t>
    </w:r>
    <w:r w:rsidR="00D6066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D317D" w14:textId="2C20C289" w:rsidR="00F903F3" w:rsidRPr="00D6066C" w:rsidRDefault="00000000" w:rsidP="00D6066C">
    <w:pPr>
      <w:pStyle w:val="Footer"/>
      <w:tabs>
        <w:tab w:val="clear" w:pos="4536"/>
        <w:tab w:val="clear" w:pos="9072"/>
        <w:tab w:val="right" w:pos="8787"/>
      </w:tabs>
    </w:pPr>
    <w:sdt>
      <w:sdtPr>
        <w:rPr>
          <w:szCs w:val="14"/>
        </w:rPr>
        <w:tag w:val="cciManRef"/>
        <w:id w:val="1544098434"/>
        <w:lock w:val="sdtLocked"/>
        <w:dataBinding w:prefixMappings="xmlns:hs='urn:HerbertSmith.Office.Word.Global'" w:xpath="//hs:root/iManRef" w:storeItemID="{757F7A50-909F-4C9C-BC36-9B696B52CEF4}"/>
        <w:text/>
      </w:sdtPr>
      <w:sdtContent>
        <w:r>
          <w:rPr>
            <w:szCs w:val="14"/>
          </w:rPr>
          <w:t>GBR02/116665139_1</w:t>
        </w:r>
      </w:sdtContent>
    </w:sdt>
    <w:r>
      <w:ptab w:relativeTo="margin" w:alignment="right" w:leader="none"/>
    </w:r>
    <w:r w:rsidR="00D6066C">
      <w:fldChar w:fldCharType="begin"/>
    </w:r>
    <w:r w:rsidR="00D6066C">
      <w:rPr>
        <w:rStyle w:val="HeaderChar"/>
        <w:szCs w:val="14"/>
      </w:rPr>
      <w:instrText xml:space="preserve"> PAGE \* MERGEFORMAT </w:instrText>
    </w:r>
    <w:r w:rsidR="00D6066C">
      <w:fldChar w:fldCharType="separate"/>
    </w:r>
    <w:r w:rsidR="00D6066C">
      <w:rPr>
        <w:rStyle w:val="HeaderChar"/>
        <w:noProof/>
        <w:szCs w:val="14"/>
      </w:rPr>
      <w:t>14</w:t>
    </w:r>
    <w:r w:rsidR="00D6066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6A00" w14:textId="7FD11D6D" w:rsidR="00F903F3" w:rsidRPr="00D6066C" w:rsidRDefault="00000000" w:rsidP="00D6066C">
    <w:pPr>
      <w:pStyle w:val="Footer"/>
      <w:tabs>
        <w:tab w:val="clear" w:pos="4536"/>
        <w:tab w:val="clear" w:pos="9072"/>
        <w:tab w:val="right" w:pos="8787"/>
      </w:tabs>
    </w:pPr>
    <w:sdt>
      <w:sdtPr>
        <w:rPr>
          <w:szCs w:val="14"/>
        </w:rPr>
        <w:tag w:val="cciManRef"/>
        <w:id w:val="804669058"/>
        <w:lock w:val="sdtLocked"/>
        <w:dataBinding w:prefixMappings="xmlns:hs='urn:HerbertSmith.Office.Word.Global'" w:xpath="//hs:root/iManRef" w:storeItemID="{757F7A50-909F-4C9C-BC36-9B696B52CEF4}"/>
        <w:text/>
      </w:sdtPr>
      <w:sdtContent>
        <w:r>
          <w:rPr>
            <w:szCs w:val="14"/>
          </w:rPr>
          <w:t>GBR02/116665139_1</w:t>
        </w:r>
      </w:sdtContent>
    </w:sdt>
    <w:r>
      <w:ptab w:relativeTo="margin" w:alignment="right" w:leader="none"/>
    </w:r>
    <w:r w:rsidR="00D6066C">
      <w:fldChar w:fldCharType="begin"/>
    </w:r>
    <w:r w:rsidR="00D6066C">
      <w:rPr>
        <w:rStyle w:val="HeaderChar"/>
        <w:szCs w:val="14"/>
      </w:rPr>
      <w:instrText xml:space="preserve"> PAGE \* MERGEFORMAT </w:instrText>
    </w:r>
    <w:r w:rsidR="00D6066C">
      <w:fldChar w:fldCharType="separate"/>
    </w:r>
    <w:r w:rsidR="00D6066C">
      <w:rPr>
        <w:rStyle w:val="HeaderChar"/>
        <w:noProof/>
        <w:szCs w:val="14"/>
      </w:rPr>
      <w:t>1</w:t>
    </w:r>
    <w:r w:rsidR="00D6066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16980" w14:textId="77777777" w:rsidR="001D6E00" w:rsidRDefault="001D6E00">
      <w:pPr>
        <w:spacing w:line="240" w:lineRule="auto"/>
      </w:pPr>
      <w:r>
        <w:separator/>
      </w:r>
    </w:p>
  </w:footnote>
  <w:footnote w:type="continuationSeparator" w:id="0">
    <w:p w14:paraId="235EDF54" w14:textId="77777777" w:rsidR="001D6E00" w:rsidRDefault="001D6E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C5E5A" w14:textId="77777777" w:rsidR="00AF4E83" w:rsidRDefault="00000000" w:rsidP="008660CB">
    <w:pPr>
      <w:pStyle w:val="Header"/>
      <w:jc w:val="center"/>
    </w:pPr>
    <w:r>
      <w:t xml:space="preserve">- </w:t>
    </w:r>
    <w:r>
      <w:fldChar w:fldCharType="begin"/>
    </w:r>
    <w:r>
      <w:instrText xml:space="preserve"> PAGE  \* MERGEFORMAT </w:instrText>
    </w:r>
    <w:r>
      <w:fldChar w:fldCharType="separate"/>
    </w:r>
    <w:r>
      <w:rPr>
        <w:noProof/>
      </w:rPr>
      <w:t>14</w:t>
    </w:r>
    <w:r>
      <w:fldChar w:fldCharType="end"/>
    </w:r>
    <w:r>
      <w:t xml:space="preserve"> -</w:t>
    </w:r>
  </w:p>
  <w:p w14:paraId="14CC6AA1" w14:textId="77777777" w:rsidR="00AF4E83" w:rsidRDefault="00AF4E83" w:rsidP="008660CB">
    <w:pPr>
      <w:pStyle w:val="Header"/>
      <w:jc w:val="left"/>
    </w:pPr>
  </w:p>
  <w:p w14:paraId="0123645B" w14:textId="77777777" w:rsidR="00AF4E83" w:rsidRDefault="00AF4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E636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941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6814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3E19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F8A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2278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2493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A00F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AD6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14FA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E74F7D"/>
    <w:multiLevelType w:val="multilevel"/>
    <w:tmpl w:val="0790824A"/>
    <w:name w:val="CustomListNum"/>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73B5547"/>
    <w:multiLevelType w:val="hybridMultilevel"/>
    <w:tmpl w:val="A888E40E"/>
    <w:lvl w:ilvl="0" w:tplc="6A84BBA6">
      <w:start w:val="1"/>
      <w:numFmt w:val="upperLetter"/>
      <w:pStyle w:val="Recitals"/>
      <w:lvlText w:val="(%1)"/>
      <w:lvlJc w:val="left"/>
      <w:pPr>
        <w:tabs>
          <w:tab w:val="num" w:pos="709"/>
        </w:tabs>
        <w:ind w:left="709" w:hanging="709"/>
      </w:pPr>
      <w:rPr>
        <w:rFonts w:hint="default"/>
      </w:rPr>
    </w:lvl>
    <w:lvl w:ilvl="1" w:tplc="7EFCF946" w:tentative="1">
      <w:start w:val="1"/>
      <w:numFmt w:val="lowerLetter"/>
      <w:lvlText w:val="%2."/>
      <w:lvlJc w:val="left"/>
      <w:pPr>
        <w:tabs>
          <w:tab w:val="num" w:pos="1440"/>
        </w:tabs>
        <w:ind w:left="1440" w:hanging="360"/>
      </w:pPr>
    </w:lvl>
    <w:lvl w:ilvl="2" w:tplc="A096416A" w:tentative="1">
      <w:start w:val="1"/>
      <w:numFmt w:val="lowerRoman"/>
      <w:lvlText w:val="%3."/>
      <w:lvlJc w:val="right"/>
      <w:pPr>
        <w:tabs>
          <w:tab w:val="num" w:pos="2160"/>
        </w:tabs>
        <w:ind w:left="2160" w:hanging="180"/>
      </w:pPr>
    </w:lvl>
    <w:lvl w:ilvl="3" w:tplc="F544CE04" w:tentative="1">
      <w:start w:val="1"/>
      <w:numFmt w:val="decimal"/>
      <w:lvlText w:val="%4."/>
      <w:lvlJc w:val="left"/>
      <w:pPr>
        <w:tabs>
          <w:tab w:val="num" w:pos="2880"/>
        </w:tabs>
        <w:ind w:left="2880" w:hanging="360"/>
      </w:pPr>
    </w:lvl>
    <w:lvl w:ilvl="4" w:tplc="2E02536E" w:tentative="1">
      <w:start w:val="1"/>
      <w:numFmt w:val="lowerLetter"/>
      <w:lvlText w:val="%5."/>
      <w:lvlJc w:val="left"/>
      <w:pPr>
        <w:tabs>
          <w:tab w:val="num" w:pos="3600"/>
        </w:tabs>
        <w:ind w:left="3600" w:hanging="360"/>
      </w:pPr>
    </w:lvl>
    <w:lvl w:ilvl="5" w:tplc="3B464A00" w:tentative="1">
      <w:start w:val="1"/>
      <w:numFmt w:val="lowerRoman"/>
      <w:lvlText w:val="%6."/>
      <w:lvlJc w:val="right"/>
      <w:pPr>
        <w:tabs>
          <w:tab w:val="num" w:pos="4320"/>
        </w:tabs>
        <w:ind w:left="4320" w:hanging="180"/>
      </w:pPr>
    </w:lvl>
    <w:lvl w:ilvl="6" w:tplc="3D86BA2C" w:tentative="1">
      <w:start w:val="1"/>
      <w:numFmt w:val="decimal"/>
      <w:lvlText w:val="%7."/>
      <w:lvlJc w:val="left"/>
      <w:pPr>
        <w:tabs>
          <w:tab w:val="num" w:pos="5040"/>
        </w:tabs>
        <w:ind w:left="5040" w:hanging="360"/>
      </w:pPr>
    </w:lvl>
    <w:lvl w:ilvl="7" w:tplc="D40EBF72" w:tentative="1">
      <w:start w:val="1"/>
      <w:numFmt w:val="lowerLetter"/>
      <w:lvlText w:val="%8."/>
      <w:lvlJc w:val="left"/>
      <w:pPr>
        <w:tabs>
          <w:tab w:val="num" w:pos="5760"/>
        </w:tabs>
        <w:ind w:left="5760" w:hanging="360"/>
      </w:pPr>
    </w:lvl>
    <w:lvl w:ilvl="8" w:tplc="0EA41606" w:tentative="1">
      <w:start w:val="1"/>
      <w:numFmt w:val="lowerRoman"/>
      <w:lvlText w:val="%9."/>
      <w:lvlJc w:val="right"/>
      <w:pPr>
        <w:tabs>
          <w:tab w:val="num" w:pos="6480"/>
        </w:tabs>
        <w:ind w:left="6480" w:hanging="180"/>
      </w:pPr>
    </w:lvl>
  </w:abstractNum>
  <w:abstractNum w:abstractNumId="12" w15:restartNumberingAfterBreak="0">
    <w:nsid w:val="1998034E"/>
    <w:multiLevelType w:val="hybridMultilevel"/>
    <w:tmpl w:val="B78E76CA"/>
    <w:lvl w:ilvl="0" w:tplc="18A24564">
      <w:start w:val="1"/>
      <w:numFmt w:val="decimal"/>
      <w:pStyle w:val="TOC4"/>
      <w:lvlText w:val="%1."/>
      <w:lvlJc w:val="left"/>
      <w:pPr>
        <w:ind w:left="360" w:hanging="360"/>
      </w:pPr>
      <w:rPr>
        <w:rFonts w:ascii="Arial Bold" w:hAnsi="Arial Bold" w:hint="default"/>
        <w:b/>
        <w:i w:val="0"/>
        <w:sz w:val="21"/>
      </w:rPr>
    </w:lvl>
    <w:lvl w:ilvl="1" w:tplc="9B48C3A8" w:tentative="1">
      <w:start w:val="1"/>
      <w:numFmt w:val="lowerLetter"/>
      <w:lvlText w:val="%2."/>
      <w:lvlJc w:val="left"/>
      <w:pPr>
        <w:ind w:left="3566" w:hanging="360"/>
      </w:pPr>
    </w:lvl>
    <w:lvl w:ilvl="2" w:tplc="BAC81FDA" w:tentative="1">
      <w:start w:val="1"/>
      <w:numFmt w:val="lowerRoman"/>
      <w:lvlText w:val="%3."/>
      <w:lvlJc w:val="right"/>
      <w:pPr>
        <w:ind w:left="4286" w:hanging="180"/>
      </w:pPr>
    </w:lvl>
    <w:lvl w:ilvl="3" w:tplc="5E80F332" w:tentative="1">
      <w:start w:val="1"/>
      <w:numFmt w:val="decimal"/>
      <w:lvlText w:val="%4."/>
      <w:lvlJc w:val="left"/>
      <w:pPr>
        <w:ind w:left="5006" w:hanging="360"/>
      </w:pPr>
    </w:lvl>
    <w:lvl w:ilvl="4" w:tplc="759C59C6" w:tentative="1">
      <w:start w:val="1"/>
      <w:numFmt w:val="lowerLetter"/>
      <w:lvlText w:val="%5."/>
      <w:lvlJc w:val="left"/>
      <w:pPr>
        <w:ind w:left="5726" w:hanging="360"/>
      </w:pPr>
    </w:lvl>
    <w:lvl w:ilvl="5" w:tplc="73C4BF1E" w:tentative="1">
      <w:start w:val="1"/>
      <w:numFmt w:val="lowerRoman"/>
      <w:lvlText w:val="%6."/>
      <w:lvlJc w:val="right"/>
      <w:pPr>
        <w:ind w:left="6446" w:hanging="180"/>
      </w:pPr>
    </w:lvl>
    <w:lvl w:ilvl="6" w:tplc="81AACDD6" w:tentative="1">
      <w:start w:val="1"/>
      <w:numFmt w:val="decimal"/>
      <w:lvlText w:val="%7."/>
      <w:lvlJc w:val="left"/>
      <w:pPr>
        <w:ind w:left="7166" w:hanging="360"/>
      </w:pPr>
    </w:lvl>
    <w:lvl w:ilvl="7" w:tplc="4274ACA4" w:tentative="1">
      <w:start w:val="1"/>
      <w:numFmt w:val="lowerLetter"/>
      <w:lvlText w:val="%8."/>
      <w:lvlJc w:val="left"/>
      <w:pPr>
        <w:ind w:left="7886" w:hanging="360"/>
      </w:pPr>
    </w:lvl>
    <w:lvl w:ilvl="8" w:tplc="9C7E1242" w:tentative="1">
      <w:start w:val="1"/>
      <w:numFmt w:val="lowerRoman"/>
      <w:lvlText w:val="%9."/>
      <w:lvlJc w:val="right"/>
      <w:pPr>
        <w:ind w:left="8606" w:hanging="180"/>
      </w:pPr>
    </w:lvl>
  </w:abstractNum>
  <w:abstractNum w:abstractNumId="13"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pStyle w:val="Heading4"/>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8841053"/>
    <w:multiLevelType w:val="multilevel"/>
    <w:tmpl w:val="F97E18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70605F"/>
    <w:multiLevelType w:val="multilevel"/>
    <w:tmpl w:val="05EA2F5C"/>
    <w:name w:val="SchCustomListNum"/>
    <w:styleLink w:val="SchCustomList"/>
    <w:lvl w:ilvl="0">
      <w:start w:val="1"/>
      <w:numFmt w:val="none"/>
      <w:pStyle w:val="SchTitle"/>
      <w:suff w:val="nothing"/>
      <w:lvlText w:val=""/>
      <w:lvlJc w:val="left"/>
      <w:pPr>
        <w:ind w:left="0" w:firstLine="0"/>
      </w:pPr>
      <w:rPr>
        <w:rFonts w:ascii="Arial" w:hAnsi="Arial" w:cs="Arial" w:hint="default"/>
        <w:b w:val="0"/>
      </w:rPr>
    </w:lvl>
    <w:lvl w:ilvl="1">
      <w:start w:val="1"/>
      <w:numFmt w:val="none"/>
      <w:pStyle w:val="SchSubtitl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hint="default"/>
      </w:rPr>
    </w:lvl>
    <w:lvl w:ilvl="6">
      <w:start w:val="1"/>
      <w:numFmt w:val="decimal"/>
      <w:pStyle w:val="SchNumber5"/>
      <w:lvlText w:val="(%7)"/>
      <w:lvlJc w:val="left"/>
      <w:pPr>
        <w:tabs>
          <w:tab w:val="num" w:pos="2835"/>
        </w:tabs>
        <w:ind w:left="2835" w:hanging="709"/>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16" w15:restartNumberingAfterBreak="0">
    <w:nsid w:val="355C5091"/>
    <w:multiLevelType w:val="multilevel"/>
    <w:tmpl w:val="0409001D"/>
    <w:name w:val="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9733166"/>
    <w:multiLevelType w:val="hybridMultilevel"/>
    <w:tmpl w:val="3C865FF6"/>
    <w:lvl w:ilvl="0" w:tplc="0BE004D6">
      <w:start w:val="1"/>
      <w:numFmt w:val="decimal"/>
      <w:pStyle w:val="Parties"/>
      <w:lvlText w:val="(%1)"/>
      <w:lvlJc w:val="left"/>
      <w:pPr>
        <w:tabs>
          <w:tab w:val="num" w:pos="709"/>
        </w:tabs>
        <w:ind w:left="709" w:hanging="709"/>
      </w:pPr>
      <w:rPr>
        <w:rFonts w:hint="default"/>
      </w:rPr>
    </w:lvl>
    <w:lvl w:ilvl="1" w:tplc="09C2BAE0" w:tentative="1">
      <w:start w:val="1"/>
      <w:numFmt w:val="lowerLetter"/>
      <w:lvlText w:val="%2."/>
      <w:lvlJc w:val="left"/>
      <w:pPr>
        <w:tabs>
          <w:tab w:val="num" w:pos="1440"/>
        </w:tabs>
        <w:ind w:left="1440" w:hanging="360"/>
      </w:pPr>
    </w:lvl>
    <w:lvl w:ilvl="2" w:tplc="A59E2498" w:tentative="1">
      <w:start w:val="1"/>
      <w:numFmt w:val="lowerRoman"/>
      <w:lvlText w:val="%3."/>
      <w:lvlJc w:val="right"/>
      <w:pPr>
        <w:tabs>
          <w:tab w:val="num" w:pos="2160"/>
        </w:tabs>
        <w:ind w:left="2160" w:hanging="180"/>
      </w:pPr>
    </w:lvl>
    <w:lvl w:ilvl="3" w:tplc="212019D4" w:tentative="1">
      <w:start w:val="1"/>
      <w:numFmt w:val="decimal"/>
      <w:lvlText w:val="%4."/>
      <w:lvlJc w:val="left"/>
      <w:pPr>
        <w:tabs>
          <w:tab w:val="num" w:pos="2880"/>
        </w:tabs>
        <w:ind w:left="2880" w:hanging="360"/>
      </w:pPr>
    </w:lvl>
    <w:lvl w:ilvl="4" w:tplc="58320D34" w:tentative="1">
      <w:start w:val="1"/>
      <w:numFmt w:val="lowerLetter"/>
      <w:lvlText w:val="%5."/>
      <w:lvlJc w:val="left"/>
      <w:pPr>
        <w:tabs>
          <w:tab w:val="num" w:pos="3600"/>
        </w:tabs>
        <w:ind w:left="3600" w:hanging="360"/>
      </w:pPr>
    </w:lvl>
    <w:lvl w:ilvl="5" w:tplc="F564B038" w:tentative="1">
      <w:start w:val="1"/>
      <w:numFmt w:val="lowerRoman"/>
      <w:lvlText w:val="%6."/>
      <w:lvlJc w:val="right"/>
      <w:pPr>
        <w:tabs>
          <w:tab w:val="num" w:pos="4320"/>
        </w:tabs>
        <w:ind w:left="4320" w:hanging="180"/>
      </w:pPr>
    </w:lvl>
    <w:lvl w:ilvl="6" w:tplc="E598A094" w:tentative="1">
      <w:start w:val="1"/>
      <w:numFmt w:val="decimal"/>
      <w:lvlText w:val="%7."/>
      <w:lvlJc w:val="left"/>
      <w:pPr>
        <w:tabs>
          <w:tab w:val="num" w:pos="5040"/>
        </w:tabs>
        <w:ind w:left="5040" w:hanging="360"/>
      </w:pPr>
    </w:lvl>
    <w:lvl w:ilvl="7" w:tplc="FF004EF6" w:tentative="1">
      <w:start w:val="1"/>
      <w:numFmt w:val="lowerLetter"/>
      <w:lvlText w:val="%8."/>
      <w:lvlJc w:val="left"/>
      <w:pPr>
        <w:tabs>
          <w:tab w:val="num" w:pos="5760"/>
        </w:tabs>
        <w:ind w:left="5760" w:hanging="360"/>
      </w:pPr>
    </w:lvl>
    <w:lvl w:ilvl="8" w:tplc="B9F6C046" w:tentative="1">
      <w:start w:val="1"/>
      <w:numFmt w:val="lowerRoman"/>
      <w:lvlText w:val="%9."/>
      <w:lvlJc w:val="right"/>
      <w:pPr>
        <w:tabs>
          <w:tab w:val="num" w:pos="6480"/>
        </w:tabs>
        <w:ind w:left="6480" w:hanging="180"/>
      </w:pPr>
    </w:lvl>
  </w:abstractNum>
  <w:abstractNum w:abstractNumId="18" w15:restartNumberingAfterBreak="0">
    <w:nsid w:val="50F62CBE"/>
    <w:multiLevelType w:val="hybridMultilevel"/>
    <w:tmpl w:val="00482AC8"/>
    <w:lvl w:ilvl="0" w:tplc="97168C2E">
      <w:start w:val="2024"/>
      <w:numFmt w:val="bullet"/>
      <w:lvlText w:val="-"/>
      <w:lvlJc w:val="left"/>
      <w:pPr>
        <w:ind w:left="720" w:hanging="360"/>
      </w:pPr>
      <w:rPr>
        <w:rFonts w:ascii="Arial" w:eastAsia="Arial Unicode MS" w:hAnsi="Arial" w:cs="Arial" w:hint="default"/>
      </w:rPr>
    </w:lvl>
    <w:lvl w:ilvl="1" w:tplc="4F8AF0D6" w:tentative="1">
      <w:start w:val="1"/>
      <w:numFmt w:val="bullet"/>
      <w:lvlText w:val="o"/>
      <w:lvlJc w:val="left"/>
      <w:pPr>
        <w:ind w:left="1440" w:hanging="360"/>
      </w:pPr>
      <w:rPr>
        <w:rFonts w:ascii="Courier New" w:hAnsi="Courier New" w:cs="Courier New" w:hint="default"/>
      </w:rPr>
    </w:lvl>
    <w:lvl w:ilvl="2" w:tplc="FBAA31E0" w:tentative="1">
      <w:start w:val="1"/>
      <w:numFmt w:val="bullet"/>
      <w:lvlText w:val=""/>
      <w:lvlJc w:val="left"/>
      <w:pPr>
        <w:ind w:left="2160" w:hanging="360"/>
      </w:pPr>
      <w:rPr>
        <w:rFonts w:ascii="Wingdings" w:hAnsi="Wingdings" w:hint="default"/>
      </w:rPr>
    </w:lvl>
    <w:lvl w:ilvl="3" w:tplc="E33CF11A" w:tentative="1">
      <w:start w:val="1"/>
      <w:numFmt w:val="bullet"/>
      <w:lvlText w:val=""/>
      <w:lvlJc w:val="left"/>
      <w:pPr>
        <w:ind w:left="2880" w:hanging="360"/>
      </w:pPr>
      <w:rPr>
        <w:rFonts w:ascii="Symbol" w:hAnsi="Symbol" w:hint="default"/>
      </w:rPr>
    </w:lvl>
    <w:lvl w:ilvl="4" w:tplc="0A581AC8" w:tentative="1">
      <w:start w:val="1"/>
      <w:numFmt w:val="bullet"/>
      <w:lvlText w:val="o"/>
      <w:lvlJc w:val="left"/>
      <w:pPr>
        <w:ind w:left="3600" w:hanging="360"/>
      </w:pPr>
      <w:rPr>
        <w:rFonts w:ascii="Courier New" w:hAnsi="Courier New" w:cs="Courier New" w:hint="default"/>
      </w:rPr>
    </w:lvl>
    <w:lvl w:ilvl="5" w:tplc="E850EDCC" w:tentative="1">
      <w:start w:val="1"/>
      <w:numFmt w:val="bullet"/>
      <w:lvlText w:val=""/>
      <w:lvlJc w:val="left"/>
      <w:pPr>
        <w:ind w:left="4320" w:hanging="360"/>
      </w:pPr>
      <w:rPr>
        <w:rFonts w:ascii="Wingdings" w:hAnsi="Wingdings" w:hint="default"/>
      </w:rPr>
    </w:lvl>
    <w:lvl w:ilvl="6" w:tplc="55AAB476" w:tentative="1">
      <w:start w:val="1"/>
      <w:numFmt w:val="bullet"/>
      <w:lvlText w:val=""/>
      <w:lvlJc w:val="left"/>
      <w:pPr>
        <w:ind w:left="5040" w:hanging="360"/>
      </w:pPr>
      <w:rPr>
        <w:rFonts w:ascii="Symbol" w:hAnsi="Symbol" w:hint="default"/>
      </w:rPr>
    </w:lvl>
    <w:lvl w:ilvl="7" w:tplc="C5B42F70" w:tentative="1">
      <w:start w:val="1"/>
      <w:numFmt w:val="bullet"/>
      <w:lvlText w:val="o"/>
      <w:lvlJc w:val="left"/>
      <w:pPr>
        <w:ind w:left="5760" w:hanging="360"/>
      </w:pPr>
      <w:rPr>
        <w:rFonts w:ascii="Courier New" w:hAnsi="Courier New" w:cs="Courier New" w:hint="default"/>
      </w:rPr>
    </w:lvl>
    <w:lvl w:ilvl="8" w:tplc="3836D6BC" w:tentative="1">
      <w:start w:val="1"/>
      <w:numFmt w:val="bullet"/>
      <w:lvlText w:val=""/>
      <w:lvlJc w:val="left"/>
      <w:pPr>
        <w:ind w:left="6480" w:hanging="360"/>
      </w:pPr>
      <w:rPr>
        <w:rFonts w:ascii="Wingdings" w:hAnsi="Wingdings" w:hint="default"/>
      </w:rPr>
    </w:lvl>
  </w:abstractNum>
  <w:abstractNum w:abstractNumId="19" w15:restartNumberingAfterBreak="0">
    <w:nsid w:val="5764573C"/>
    <w:multiLevelType w:val="multilevel"/>
    <w:tmpl w:val="D6ECC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0D72C7"/>
    <w:multiLevelType w:val="hybridMultilevel"/>
    <w:tmpl w:val="3C6C82C2"/>
    <w:lvl w:ilvl="0" w:tplc="C47A244A">
      <w:start w:val="1"/>
      <w:numFmt w:val="bullet"/>
      <w:lvlText w:val=""/>
      <w:lvlJc w:val="left"/>
      <w:pPr>
        <w:ind w:left="720" w:hanging="360"/>
      </w:pPr>
      <w:rPr>
        <w:rFonts w:ascii="Symbol" w:hAnsi="Symbol" w:hint="default"/>
      </w:rPr>
    </w:lvl>
    <w:lvl w:ilvl="1" w:tplc="7BCE0746">
      <w:start w:val="1"/>
      <w:numFmt w:val="bullet"/>
      <w:lvlText w:val="o"/>
      <w:lvlJc w:val="left"/>
      <w:pPr>
        <w:ind w:left="1440" w:hanging="360"/>
      </w:pPr>
      <w:rPr>
        <w:rFonts w:ascii="Courier New" w:hAnsi="Courier New" w:cs="Courier New" w:hint="default"/>
      </w:rPr>
    </w:lvl>
    <w:lvl w:ilvl="2" w:tplc="6EF2C9C6">
      <w:start w:val="1"/>
      <w:numFmt w:val="bullet"/>
      <w:lvlText w:val=""/>
      <w:lvlJc w:val="left"/>
      <w:pPr>
        <w:ind w:left="2160" w:hanging="360"/>
      </w:pPr>
      <w:rPr>
        <w:rFonts w:ascii="Wingdings" w:hAnsi="Wingdings" w:hint="default"/>
      </w:rPr>
    </w:lvl>
    <w:lvl w:ilvl="3" w:tplc="4510C2F4">
      <w:start w:val="1"/>
      <w:numFmt w:val="bullet"/>
      <w:lvlText w:val=""/>
      <w:lvlJc w:val="left"/>
      <w:pPr>
        <w:ind w:left="2880" w:hanging="360"/>
      </w:pPr>
      <w:rPr>
        <w:rFonts w:ascii="Symbol" w:hAnsi="Symbol" w:hint="default"/>
      </w:rPr>
    </w:lvl>
    <w:lvl w:ilvl="4" w:tplc="AD16D91C">
      <w:start w:val="1"/>
      <w:numFmt w:val="bullet"/>
      <w:lvlText w:val="o"/>
      <w:lvlJc w:val="left"/>
      <w:pPr>
        <w:ind w:left="3600" w:hanging="360"/>
      </w:pPr>
      <w:rPr>
        <w:rFonts w:ascii="Courier New" w:hAnsi="Courier New" w:cs="Courier New" w:hint="default"/>
      </w:rPr>
    </w:lvl>
    <w:lvl w:ilvl="5" w:tplc="C75A6D34">
      <w:start w:val="1"/>
      <w:numFmt w:val="bullet"/>
      <w:lvlText w:val=""/>
      <w:lvlJc w:val="left"/>
      <w:pPr>
        <w:ind w:left="4320" w:hanging="360"/>
      </w:pPr>
      <w:rPr>
        <w:rFonts w:ascii="Wingdings" w:hAnsi="Wingdings" w:hint="default"/>
      </w:rPr>
    </w:lvl>
    <w:lvl w:ilvl="6" w:tplc="D2CA4372">
      <w:start w:val="1"/>
      <w:numFmt w:val="bullet"/>
      <w:lvlText w:val=""/>
      <w:lvlJc w:val="left"/>
      <w:pPr>
        <w:ind w:left="5040" w:hanging="360"/>
      </w:pPr>
      <w:rPr>
        <w:rFonts w:ascii="Symbol" w:hAnsi="Symbol" w:hint="default"/>
      </w:rPr>
    </w:lvl>
    <w:lvl w:ilvl="7" w:tplc="C29A30DE">
      <w:start w:val="1"/>
      <w:numFmt w:val="bullet"/>
      <w:lvlText w:val="o"/>
      <w:lvlJc w:val="left"/>
      <w:pPr>
        <w:ind w:left="5760" w:hanging="360"/>
      </w:pPr>
      <w:rPr>
        <w:rFonts w:ascii="Courier New" w:hAnsi="Courier New" w:cs="Courier New" w:hint="default"/>
      </w:rPr>
    </w:lvl>
    <w:lvl w:ilvl="8" w:tplc="2E0A7BDE">
      <w:start w:val="1"/>
      <w:numFmt w:val="bullet"/>
      <w:lvlText w:val=""/>
      <w:lvlJc w:val="left"/>
      <w:pPr>
        <w:ind w:left="6480" w:hanging="360"/>
      </w:pPr>
      <w:rPr>
        <w:rFonts w:ascii="Wingdings" w:hAnsi="Wingdings" w:hint="default"/>
      </w:rPr>
    </w:lvl>
  </w:abstractNum>
  <w:abstractNum w:abstractNumId="21" w15:restartNumberingAfterBreak="0">
    <w:nsid w:val="6E4A4E1A"/>
    <w:multiLevelType w:val="hybridMultilevel"/>
    <w:tmpl w:val="015A3752"/>
    <w:lvl w:ilvl="0" w:tplc="A922F1E8">
      <w:start w:val="1"/>
      <w:numFmt w:val="bullet"/>
      <w:lvlText w:val=""/>
      <w:lvlJc w:val="left"/>
      <w:pPr>
        <w:ind w:left="720" w:hanging="360"/>
      </w:pPr>
      <w:rPr>
        <w:rFonts w:ascii="Symbol" w:hAnsi="Symbol" w:hint="default"/>
      </w:rPr>
    </w:lvl>
    <w:lvl w:ilvl="1" w:tplc="F4F4BAA2">
      <w:start w:val="1"/>
      <w:numFmt w:val="bullet"/>
      <w:lvlText w:val="o"/>
      <w:lvlJc w:val="left"/>
      <w:pPr>
        <w:ind w:left="1440" w:hanging="360"/>
      </w:pPr>
      <w:rPr>
        <w:rFonts w:ascii="Courier New" w:hAnsi="Courier New" w:cs="Courier New" w:hint="default"/>
      </w:rPr>
    </w:lvl>
    <w:lvl w:ilvl="2" w:tplc="50A641CE">
      <w:start w:val="1"/>
      <w:numFmt w:val="bullet"/>
      <w:lvlText w:val=""/>
      <w:lvlJc w:val="left"/>
      <w:pPr>
        <w:ind w:left="2160" w:hanging="360"/>
      </w:pPr>
      <w:rPr>
        <w:rFonts w:ascii="Wingdings" w:hAnsi="Wingdings" w:hint="default"/>
      </w:rPr>
    </w:lvl>
    <w:lvl w:ilvl="3" w:tplc="F348B6AA">
      <w:start w:val="1"/>
      <w:numFmt w:val="bullet"/>
      <w:lvlText w:val=""/>
      <w:lvlJc w:val="left"/>
      <w:pPr>
        <w:ind w:left="2880" w:hanging="360"/>
      </w:pPr>
      <w:rPr>
        <w:rFonts w:ascii="Symbol" w:hAnsi="Symbol" w:hint="default"/>
      </w:rPr>
    </w:lvl>
    <w:lvl w:ilvl="4" w:tplc="37DEA860">
      <w:start w:val="1"/>
      <w:numFmt w:val="bullet"/>
      <w:lvlText w:val="o"/>
      <w:lvlJc w:val="left"/>
      <w:pPr>
        <w:ind w:left="3600" w:hanging="360"/>
      </w:pPr>
      <w:rPr>
        <w:rFonts w:ascii="Courier New" w:hAnsi="Courier New" w:cs="Courier New" w:hint="default"/>
      </w:rPr>
    </w:lvl>
    <w:lvl w:ilvl="5" w:tplc="D62E195C">
      <w:start w:val="1"/>
      <w:numFmt w:val="bullet"/>
      <w:lvlText w:val=""/>
      <w:lvlJc w:val="left"/>
      <w:pPr>
        <w:ind w:left="4320" w:hanging="360"/>
      </w:pPr>
      <w:rPr>
        <w:rFonts w:ascii="Wingdings" w:hAnsi="Wingdings" w:hint="default"/>
      </w:rPr>
    </w:lvl>
    <w:lvl w:ilvl="6" w:tplc="1EB45596">
      <w:start w:val="1"/>
      <w:numFmt w:val="bullet"/>
      <w:lvlText w:val=""/>
      <w:lvlJc w:val="left"/>
      <w:pPr>
        <w:ind w:left="5040" w:hanging="360"/>
      </w:pPr>
      <w:rPr>
        <w:rFonts w:ascii="Symbol" w:hAnsi="Symbol" w:hint="default"/>
      </w:rPr>
    </w:lvl>
    <w:lvl w:ilvl="7" w:tplc="DA6613B2">
      <w:start w:val="1"/>
      <w:numFmt w:val="bullet"/>
      <w:lvlText w:val="o"/>
      <w:lvlJc w:val="left"/>
      <w:pPr>
        <w:ind w:left="5760" w:hanging="360"/>
      </w:pPr>
      <w:rPr>
        <w:rFonts w:ascii="Courier New" w:hAnsi="Courier New" w:cs="Courier New" w:hint="default"/>
      </w:rPr>
    </w:lvl>
    <w:lvl w:ilvl="8" w:tplc="E44A7A24">
      <w:start w:val="1"/>
      <w:numFmt w:val="bullet"/>
      <w:lvlText w:val=""/>
      <w:lvlJc w:val="left"/>
      <w:pPr>
        <w:ind w:left="6480" w:hanging="360"/>
      </w:pPr>
      <w:rPr>
        <w:rFonts w:ascii="Wingdings" w:hAnsi="Wingdings" w:hint="default"/>
      </w:rPr>
    </w:lvl>
  </w:abstractNum>
  <w:abstractNum w:abstractNumId="22" w15:restartNumberingAfterBreak="0">
    <w:nsid w:val="7F8567A6"/>
    <w:multiLevelType w:val="hybridMultilevel"/>
    <w:tmpl w:val="206C2D9E"/>
    <w:lvl w:ilvl="0" w:tplc="5CCA0F66">
      <w:start w:val="1"/>
      <w:numFmt w:val="decimal"/>
      <w:lvlText w:val="%1."/>
      <w:lvlJc w:val="left"/>
      <w:pPr>
        <w:ind w:left="720" w:hanging="360"/>
      </w:pPr>
      <w:rPr>
        <w:rFonts w:hint="default"/>
        <w:b/>
        <w:i w:val="0"/>
      </w:rPr>
    </w:lvl>
    <w:lvl w:ilvl="1" w:tplc="12A82854" w:tentative="1">
      <w:start w:val="1"/>
      <w:numFmt w:val="lowerLetter"/>
      <w:lvlText w:val="%2."/>
      <w:lvlJc w:val="left"/>
      <w:pPr>
        <w:ind w:left="1440" w:hanging="360"/>
      </w:pPr>
    </w:lvl>
    <w:lvl w:ilvl="2" w:tplc="8F5AFFEE" w:tentative="1">
      <w:start w:val="1"/>
      <w:numFmt w:val="lowerRoman"/>
      <w:lvlText w:val="%3."/>
      <w:lvlJc w:val="right"/>
      <w:pPr>
        <w:ind w:left="2160" w:hanging="180"/>
      </w:pPr>
    </w:lvl>
    <w:lvl w:ilvl="3" w:tplc="176C0B6A" w:tentative="1">
      <w:start w:val="1"/>
      <w:numFmt w:val="decimal"/>
      <w:lvlText w:val="%4."/>
      <w:lvlJc w:val="left"/>
      <w:pPr>
        <w:ind w:left="2880" w:hanging="360"/>
      </w:pPr>
    </w:lvl>
    <w:lvl w:ilvl="4" w:tplc="59B4AF86" w:tentative="1">
      <w:start w:val="1"/>
      <w:numFmt w:val="lowerLetter"/>
      <w:lvlText w:val="%5."/>
      <w:lvlJc w:val="left"/>
      <w:pPr>
        <w:ind w:left="3600" w:hanging="360"/>
      </w:pPr>
    </w:lvl>
    <w:lvl w:ilvl="5" w:tplc="587AC88A" w:tentative="1">
      <w:start w:val="1"/>
      <w:numFmt w:val="lowerRoman"/>
      <w:lvlText w:val="%6."/>
      <w:lvlJc w:val="right"/>
      <w:pPr>
        <w:ind w:left="4320" w:hanging="180"/>
      </w:pPr>
    </w:lvl>
    <w:lvl w:ilvl="6" w:tplc="099870D0" w:tentative="1">
      <w:start w:val="1"/>
      <w:numFmt w:val="decimal"/>
      <w:lvlText w:val="%7."/>
      <w:lvlJc w:val="left"/>
      <w:pPr>
        <w:ind w:left="5040" w:hanging="360"/>
      </w:pPr>
    </w:lvl>
    <w:lvl w:ilvl="7" w:tplc="4150017A" w:tentative="1">
      <w:start w:val="1"/>
      <w:numFmt w:val="lowerLetter"/>
      <w:lvlText w:val="%8."/>
      <w:lvlJc w:val="left"/>
      <w:pPr>
        <w:ind w:left="5760" w:hanging="360"/>
      </w:pPr>
    </w:lvl>
    <w:lvl w:ilvl="8" w:tplc="177EC1D0" w:tentative="1">
      <w:start w:val="1"/>
      <w:numFmt w:val="lowerRoman"/>
      <w:lvlText w:val="%9."/>
      <w:lvlJc w:val="right"/>
      <w:pPr>
        <w:ind w:left="6480" w:hanging="180"/>
      </w:pPr>
    </w:lvl>
  </w:abstractNum>
  <w:num w:numId="1" w16cid:durableId="1342050146">
    <w:abstractNumId w:val="10"/>
  </w:num>
  <w:num w:numId="2" w16cid:durableId="1556090410">
    <w:abstractNumId w:val="13"/>
  </w:num>
  <w:num w:numId="3" w16cid:durableId="221603141">
    <w:abstractNumId w:val="17"/>
  </w:num>
  <w:num w:numId="4" w16cid:durableId="233005847">
    <w:abstractNumId w:val="11"/>
  </w:num>
  <w:num w:numId="5" w16cid:durableId="1272471158">
    <w:abstractNumId w:val="15"/>
  </w:num>
  <w:num w:numId="6" w16cid:durableId="1006446286">
    <w:abstractNumId w:val="9"/>
  </w:num>
  <w:num w:numId="7" w16cid:durableId="1403869632">
    <w:abstractNumId w:val="7"/>
  </w:num>
  <w:num w:numId="8" w16cid:durableId="1168790573">
    <w:abstractNumId w:val="6"/>
  </w:num>
  <w:num w:numId="9" w16cid:durableId="668991815">
    <w:abstractNumId w:val="5"/>
  </w:num>
  <w:num w:numId="10" w16cid:durableId="1689675992">
    <w:abstractNumId w:val="4"/>
  </w:num>
  <w:num w:numId="11" w16cid:durableId="1396048637">
    <w:abstractNumId w:val="8"/>
  </w:num>
  <w:num w:numId="12" w16cid:durableId="476193456">
    <w:abstractNumId w:val="3"/>
  </w:num>
  <w:num w:numId="13" w16cid:durableId="217085187">
    <w:abstractNumId w:val="2"/>
  </w:num>
  <w:num w:numId="14" w16cid:durableId="887030093">
    <w:abstractNumId w:val="1"/>
  </w:num>
  <w:num w:numId="15" w16cid:durableId="999041413">
    <w:abstractNumId w:val="0"/>
  </w:num>
  <w:num w:numId="16" w16cid:durableId="190461155">
    <w:abstractNumId w:val="12"/>
  </w:num>
  <w:num w:numId="17" w16cid:durableId="1803842094">
    <w:abstractNumId w:val="22"/>
  </w:num>
  <w:num w:numId="18" w16cid:durableId="635961689">
    <w:abstractNumId w:val="14"/>
  </w:num>
  <w:num w:numId="19" w16cid:durableId="54865699">
    <w:abstractNumId w:val="14"/>
    <w:lvlOverride w:ilvl="1">
      <w:lvl w:ilvl="1">
        <w:numFmt w:val="lowerLetter"/>
        <w:lvlText w:val="%2."/>
        <w:lvlJc w:val="left"/>
      </w:lvl>
    </w:lvlOverride>
  </w:num>
  <w:num w:numId="20" w16cid:durableId="1541479396">
    <w:abstractNumId w:val="14"/>
    <w:lvlOverride w:ilvl="1">
      <w:lvl w:ilvl="1">
        <w:numFmt w:val="lowerLetter"/>
        <w:lvlText w:val="%2."/>
        <w:lvlJc w:val="left"/>
      </w:lvl>
    </w:lvlOverride>
  </w:num>
  <w:num w:numId="21" w16cid:durableId="1702630716">
    <w:abstractNumId w:val="14"/>
    <w:lvlOverride w:ilvl="1">
      <w:lvl w:ilvl="1">
        <w:numFmt w:val="lowerLetter"/>
        <w:lvlText w:val="%2."/>
        <w:lvlJc w:val="left"/>
      </w:lvl>
    </w:lvlOverride>
  </w:num>
  <w:num w:numId="22" w16cid:durableId="944966700">
    <w:abstractNumId w:val="19"/>
  </w:num>
  <w:num w:numId="23" w16cid:durableId="1342395587">
    <w:abstractNumId w:val="18"/>
  </w:num>
  <w:num w:numId="24" w16cid:durableId="1178689873">
    <w:abstractNumId w:val="21"/>
  </w:num>
  <w:num w:numId="25" w16cid:durableId="2100904683">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05"/>
  <w:displayHorizontalDrawingGridEvery w:val="2"/>
  <w:displayVerticalDrawingGridEvery w:val="2"/>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 "/>
    <w:docVar w:name="ndGeneratedStampLocation" w:val="None"/>
    <w:docVar w:name="NetDocs_AuthorID" w:val="1014558"/>
    <w:docVar w:name="NetDocs_AuthorName" w:val="1014558"/>
    <w:docVar w:name="NetDocs_CabinetID" w:val="NG-LO1GCKS7"/>
    <w:docVar w:name="NetDocs_CabinetName" w:val="NG-LO1GCKS7"/>
    <w:docVar w:name="NetDocs_DocID" w:val="4146-5655-2037"/>
    <w:docVar w:name="NetDocs_DocName" w:val="Commonhold Allocation Table CMS, HL and HSF Kramer questions.docx"/>
    <w:docVar w:name="NetDocs_DocPath" w:val="C:\Users\TONKINPA\ND Office Echo\EU-WXNB49WV\Commonhold Allocation Table CMS, HL and HSF Kramer questions 4146-5655-2037 v.1.docx"/>
    <w:docVar w:name="NetDocs_DocumentType" w:val=" "/>
    <w:docVar w:name="NetDocs_PracticeArea" w:val=" "/>
    <w:docVar w:name="NetDocs_PracticeGroup" w:val=" "/>
    <w:docVar w:name="NetDocs_Version" w:val="1"/>
  </w:docVars>
  <w:rsids>
    <w:rsidRoot w:val="00570258"/>
    <w:rsid w:val="00001EFF"/>
    <w:rsid w:val="00002F65"/>
    <w:rsid w:val="00014E53"/>
    <w:rsid w:val="000174DD"/>
    <w:rsid w:val="00040E28"/>
    <w:rsid w:val="00041450"/>
    <w:rsid w:val="0004544B"/>
    <w:rsid w:val="00071E3B"/>
    <w:rsid w:val="0007613B"/>
    <w:rsid w:val="00083E24"/>
    <w:rsid w:val="000903CA"/>
    <w:rsid w:val="00091813"/>
    <w:rsid w:val="00093909"/>
    <w:rsid w:val="000A6825"/>
    <w:rsid w:val="000A7590"/>
    <w:rsid w:val="000C1974"/>
    <w:rsid w:val="000C3424"/>
    <w:rsid w:val="000D030E"/>
    <w:rsid w:val="000D1468"/>
    <w:rsid w:val="000D77B5"/>
    <w:rsid w:val="000D7A8E"/>
    <w:rsid w:val="000E29E7"/>
    <w:rsid w:val="000E4D60"/>
    <w:rsid w:val="00101310"/>
    <w:rsid w:val="00101A53"/>
    <w:rsid w:val="001023C2"/>
    <w:rsid w:val="0011634C"/>
    <w:rsid w:val="001213C6"/>
    <w:rsid w:val="00134AE3"/>
    <w:rsid w:val="00164A05"/>
    <w:rsid w:val="00176272"/>
    <w:rsid w:val="001913C1"/>
    <w:rsid w:val="001B4F9F"/>
    <w:rsid w:val="001C3695"/>
    <w:rsid w:val="001D6E00"/>
    <w:rsid w:val="001E1BDC"/>
    <w:rsid w:val="001F5FFC"/>
    <w:rsid w:val="00225252"/>
    <w:rsid w:val="00247E76"/>
    <w:rsid w:val="0025196A"/>
    <w:rsid w:val="0027059F"/>
    <w:rsid w:val="002844DA"/>
    <w:rsid w:val="00284B7B"/>
    <w:rsid w:val="00284EA4"/>
    <w:rsid w:val="00296DBD"/>
    <w:rsid w:val="002B5F6B"/>
    <w:rsid w:val="002C0B79"/>
    <w:rsid w:val="002C6598"/>
    <w:rsid w:val="002D6180"/>
    <w:rsid w:val="002E06F0"/>
    <w:rsid w:val="003030F1"/>
    <w:rsid w:val="00325E49"/>
    <w:rsid w:val="00354458"/>
    <w:rsid w:val="003546D4"/>
    <w:rsid w:val="00362D12"/>
    <w:rsid w:val="003C4058"/>
    <w:rsid w:val="003C4640"/>
    <w:rsid w:val="003D19AA"/>
    <w:rsid w:val="003D599E"/>
    <w:rsid w:val="003E040A"/>
    <w:rsid w:val="003E4347"/>
    <w:rsid w:val="004318BF"/>
    <w:rsid w:val="00436B0E"/>
    <w:rsid w:val="00443C4F"/>
    <w:rsid w:val="00460539"/>
    <w:rsid w:val="00474065"/>
    <w:rsid w:val="00486920"/>
    <w:rsid w:val="004A6740"/>
    <w:rsid w:val="004B05D7"/>
    <w:rsid w:val="004B3A2D"/>
    <w:rsid w:val="004F2782"/>
    <w:rsid w:val="005045A9"/>
    <w:rsid w:val="00504B18"/>
    <w:rsid w:val="00521D74"/>
    <w:rsid w:val="00541C7B"/>
    <w:rsid w:val="005427ED"/>
    <w:rsid w:val="00547D7B"/>
    <w:rsid w:val="00563D29"/>
    <w:rsid w:val="00570258"/>
    <w:rsid w:val="00586325"/>
    <w:rsid w:val="005A2820"/>
    <w:rsid w:val="005C58DF"/>
    <w:rsid w:val="005D5B50"/>
    <w:rsid w:val="005D7A96"/>
    <w:rsid w:val="005E7393"/>
    <w:rsid w:val="005F30A9"/>
    <w:rsid w:val="00611F80"/>
    <w:rsid w:val="00615756"/>
    <w:rsid w:val="00631605"/>
    <w:rsid w:val="0063519A"/>
    <w:rsid w:val="00637CE7"/>
    <w:rsid w:val="00641981"/>
    <w:rsid w:val="00661BBB"/>
    <w:rsid w:val="00664EC6"/>
    <w:rsid w:val="00665A5B"/>
    <w:rsid w:val="00671861"/>
    <w:rsid w:val="006E1EA1"/>
    <w:rsid w:val="006E2073"/>
    <w:rsid w:val="00785CD3"/>
    <w:rsid w:val="00790859"/>
    <w:rsid w:val="007B159D"/>
    <w:rsid w:val="007C03F7"/>
    <w:rsid w:val="007C4D33"/>
    <w:rsid w:val="007C6A96"/>
    <w:rsid w:val="007D10E8"/>
    <w:rsid w:val="007D4683"/>
    <w:rsid w:val="007F7F66"/>
    <w:rsid w:val="00806039"/>
    <w:rsid w:val="00812FE8"/>
    <w:rsid w:val="00822317"/>
    <w:rsid w:val="00826150"/>
    <w:rsid w:val="00827FF9"/>
    <w:rsid w:val="008305D6"/>
    <w:rsid w:val="008660CB"/>
    <w:rsid w:val="00876524"/>
    <w:rsid w:val="008B2806"/>
    <w:rsid w:val="008C15DB"/>
    <w:rsid w:val="008C77D5"/>
    <w:rsid w:val="008D59CA"/>
    <w:rsid w:val="00902D74"/>
    <w:rsid w:val="00911B48"/>
    <w:rsid w:val="0095152E"/>
    <w:rsid w:val="009515B0"/>
    <w:rsid w:val="00957028"/>
    <w:rsid w:val="00966A7F"/>
    <w:rsid w:val="009A1F3C"/>
    <w:rsid w:val="009B2F07"/>
    <w:rsid w:val="009B7FC4"/>
    <w:rsid w:val="009D24F1"/>
    <w:rsid w:val="009E5624"/>
    <w:rsid w:val="009F3AA9"/>
    <w:rsid w:val="009F407B"/>
    <w:rsid w:val="009F5E0D"/>
    <w:rsid w:val="00A11298"/>
    <w:rsid w:val="00A23128"/>
    <w:rsid w:val="00A47B87"/>
    <w:rsid w:val="00A47C60"/>
    <w:rsid w:val="00A54CED"/>
    <w:rsid w:val="00A615CF"/>
    <w:rsid w:val="00A747FE"/>
    <w:rsid w:val="00A8368E"/>
    <w:rsid w:val="00AA422A"/>
    <w:rsid w:val="00AB2BC5"/>
    <w:rsid w:val="00AC67C2"/>
    <w:rsid w:val="00AD2466"/>
    <w:rsid w:val="00AE6229"/>
    <w:rsid w:val="00AF0A2C"/>
    <w:rsid w:val="00AF2F6C"/>
    <w:rsid w:val="00AF4E83"/>
    <w:rsid w:val="00B14108"/>
    <w:rsid w:val="00B8026E"/>
    <w:rsid w:val="00B86CA2"/>
    <w:rsid w:val="00BB18E1"/>
    <w:rsid w:val="00BE7F58"/>
    <w:rsid w:val="00BF6223"/>
    <w:rsid w:val="00C05BB4"/>
    <w:rsid w:val="00C10D16"/>
    <w:rsid w:val="00C1247B"/>
    <w:rsid w:val="00C25254"/>
    <w:rsid w:val="00C266C0"/>
    <w:rsid w:val="00C372A1"/>
    <w:rsid w:val="00C40C31"/>
    <w:rsid w:val="00C43E27"/>
    <w:rsid w:val="00C73DAB"/>
    <w:rsid w:val="00C77C6E"/>
    <w:rsid w:val="00C8006E"/>
    <w:rsid w:val="00C958F2"/>
    <w:rsid w:val="00C96286"/>
    <w:rsid w:val="00CC10E7"/>
    <w:rsid w:val="00CD1BF3"/>
    <w:rsid w:val="00CD3C44"/>
    <w:rsid w:val="00CE2D50"/>
    <w:rsid w:val="00CE7735"/>
    <w:rsid w:val="00CF60E1"/>
    <w:rsid w:val="00D03D1D"/>
    <w:rsid w:val="00D2538C"/>
    <w:rsid w:val="00D25E01"/>
    <w:rsid w:val="00D304E8"/>
    <w:rsid w:val="00D310C4"/>
    <w:rsid w:val="00D6066C"/>
    <w:rsid w:val="00D67411"/>
    <w:rsid w:val="00DB4683"/>
    <w:rsid w:val="00DB60B0"/>
    <w:rsid w:val="00DC11C1"/>
    <w:rsid w:val="00DC3F5E"/>
    <w:rsid w:val="00DD58FC"/>
    <w:rsid w:val="00DE129D"/>
    <w:rsid w:val="00DE3288"/>
    <w:rsid w:val="00DE3A4D"/>
    <w:rsid w:val="00DF0E09"/>
    <w:rsid w:val="00E07A55"/>
    <w:rsid w:val="00E45680"/>
    <w:rsid w:val="00E61F2A"/>
    <w:rsid w:val="00E87571"/>
    <w:rsid w:val="00E9015E"/>
    <w:rsid w:val="00EA27DD"/>
    <w:rsid w:val="00EA662E"/>
    <w:rsid w:val="00EB06F3"/>
    <w:rsid w:val="00ED08A9"/>
    <w:rsid w:val="00EE5E05"/>
    <w:rsid w:val="00F164AB"/>
    <w:rsid w:val="00F33F49"/>
    <w:rsid w:val="00F70CE8"/>
    <w:rsid w:val="00F75BC7"/>
    <w:rsid w:val="00F82CC8"/>
    <w:rsid w:val="00F839CF"/>
    <w:rsid w:val="00F903F3"/>
    <w:rsid w:val="00F95754"/>
    <w:rsid w:val="00FB2B42"/>
    <w:rsid w:val="00FC3332"/>
    <w:rsid w:val="00FC4900"/>
    <w:rsid w:val="00FC54C8"/>
    <w:rsid w:val="00FD13DF"/>
    <w:rsid w:val="00FE1786"/>
    <w:rsid w:val="00FE5DA8"/>
    <w:rsid w:val="00FF6A0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A8E42E6B-3583-4EE2-AE2C-B9507F27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GB" w:eastAsia="en-GB" w:bidi="ar-SA"/>
      </w:rPr>
    </w:rPrDefault>
    <w:pPrDefault>
      <w:pPr>
        <w:spacing w:line="264"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iPriority="13"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w:uiPriority="29"/>
    <w:lsdException w:name="List Bullet" w:semiHidden="1" w:uiPriority="29" w:unhideWhenUsed="1"/>
    <w:lsdException w:name="List Number" w:semiHidden="1" w:uiPriority="29" w:unhideWhenUsed="1"/>
    <w:lsdException w:name="List 2" w:semiHidden="1" w:uiPriority="29" w:unhideWhenUsed="1"/>
    <w:lsdException w:name="List 3" w:semiHidden="1" w:uiPriority="29" w:unhideWhenUsed="1"/>
    <w:lsdException w:name="List 4" w:semiHidden="1" w:uiPriority="29" w:unhideWhenUsed="1"/>
    <w:lsdException w:name="List 5" w:semiHidden="1" w:uiPriority="29" w:unhideWhenUsed="1"/>
    <w:lsdException w:name="List Bullet 2" w:semiHidden="1" w:uiPriority="2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iPriority="29" w:unhideWhenUsed="1"/>
    <w:lsdException w:name="List Number 3" w:semiHidden="1" w:uiPriority="29" w:unhideWhenUsed="1"/>
    <w:lsdException w:name="List Number 4" w:semiHidden="1" w:uiPriority="29" w:unhideWhenUsed="1"/>
    <w:lsdException w:name="List Number 5" w:semiHidden="1" w:uiPriority="29"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29"/>
    <w:lsdException w:name="List Continue 2" w:uiPriority="29"/>
    <w:lsdException w:name="List Continue 3" w:uiPriority="29"/>
    <w:lsdException w:name="List Continue 4" w:uiPriority="29"/>
    <w:lsdException w:name="List Continue 5" w:semiHidden="1" w:uiPriority="29"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33"/>
    <w:lsdException w:name="Document Map" w:semiHidden="1" w:unhideWhenUsed="1"/>
    <w:lsdException w:name="Plain Text" w:semiHidden="1" w:unhideWhenUsed="1"/>
    <w:lsdException w:name="E-mail Signature" w:semiHidden="1" w:uiPriority="17" w:unhideWhenUsed="1"/>
    <w:lsdException w:name="HTML Top of Form" w:semiHidden="1" w:unhideWhenUsed="1"/>
    <w:lsdException w:name="HTML Bottom of Form" w:semiHidden="1" w:unhideWhenUsed="1"/>
    <w:lsdException w:name="Normal (Web)" w:semiHidden="1" w:unhideWhenUsed="1"/>
    <w:lsdException w:name="HTML Acronym" w:semiHidden="1" w:uiPriority="29" w:unhideWhenUsed="1"/>
    <w:lsdException w:name="HTML Address" w:semiHidden="1" w:uiPriority="29" w:unhideWhenUsed="1"/>
    <w:lsdException w:name="HTML Cite" w:semiHidden="1" w:uiPriority="29" w:unhideWhenUsed="1"/>
    <w:lsdException w:name="HTML Code" w:semiHidden="1" w:uiPriority="29" w:unhideWhenUsed="1"/>
    <w:lsdException w:name="HTML Definition" w:semiHidden="1" w:uiPriority="29" w:unhideWhenUsed="1"/>
    <w:lsdException w:name="HTML Keyboard" w:semiHidden="1" w:uiPriority="29" w:unhideWhenUsed="1"/>
    <w:lsdException w:name="HTML Preformatted" w:semiHidden="1" w:uiPriority="29" w:unhideWhenUsed="1"/>
    <w:lsdException w:name="HTML Sample" w:semiHidden="1" w:uiPriority="29" w:unhideWhenUsed="1"/>
    <w:lsdException w:name="HTML Typewriter" w:semiHidden="1" w:uiPriority="29" w:unhideWhenUsed="1"/>
    <w:lsdException w:name="HTML Variable" w:semiHidden="1" w:uiPriority="29" w:unhideWhenUsed="1"/>
    <w:lsdException w:name="Normal Table" w:semiHidden="1" w:unhideWhenUsed="1"/>
    <w:lsdException w:name="annotation subject" w:semiHidden="1" w:uiPriority="17"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semiHidden="1" w:uiPriority="4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34"/>
    <w:lsdException w:name="Intense Emphasis" w:semiHidden="1" w:uiPriority="59"/>
    <w:lsdException w:name="Subtle Reference" w:semiHidden="1" w:uiPriority="41" w:qFormat="1"/>
    <w:lsdException w:name="Intense Reference" w:semiHidden="1" w:uiPriority="59" w:qFormat="1"/>
    <w:lsdException w:name="Book Title" w:uiPriority="33"/>
    <w:lsdException w:name="Bibliography" w:semiHidden="1" w:uiPriority="4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5045A9"/>
    <w:rPr>
      <w:rFonts w:eastAsia="Arial Unicode MS"/>
    </w:rPr>
  </w:style>
  <w:style w:type="paragraph" w:styleId="Heading1">
    <w:name w:val="heading 1"/>
    <w:basedOn w:val="Level1"/>
    <w:next w:val="Body2"/>
    <w:link w:val="Heading1Char"/>
    <w:uiPriority w:val="4"/>
    <w:qFormat/>
    <w:rsid w:val="00002F65"/>
    <w:pPr>
      <w:keepNext/>
    </w:pPr>
    <w:rPr>
      <w:b/>
      <w:smallCaps/>
    </w:rPr>
  </w:style>
  <w:style w:type="paragraph" w:styleId="Heading2">
    <w:name w:val="heading 2"/>
    <w:basedOn w:val="Level2"/>
    <w:next w:val="Body2"/>
    <w:link w:val="Heading2Char"/>
    <w:uiPriority w:val="4"/>
    <w:qFormat/>
    <w:rsid w:val="00002F65"/>
    <w:pPr>
      <w:keepNext/>
    </w:pPr>
    <w:rPr>
      <w:b/>
    </w:rPr>
  </w:style>
  <w:style w:type="paragraph" w:styleId="Heading3">
    <w:name w:val="heading 3"/>
    <w:basedOn w:val="Level3"/>
    <w:next w:val="Body3"/>
    <w:link w:val="Heading3Char"/>
    <w:uiPriority w:val="4"/>
    <w:qFormat/>
    <w:rsid w:val="00002F65"/>
    <w:pPr>
      <w:keepNext/>
      <w:ind w:left="1418" w:hanging="709"/>
    </w:pPr>
    <w:rPr>
      <w:b/>
    </w:rPr>
  </w:style>
  <w:style w:type="paragraph" w:styleId="Heading4">
    <w:name w:val="heading 4"/>
    <w:basedOn w:val="Level4"/>
    <w:next w:val="Body4"/>
    <w:link w:val="Heading4Char"/>
    <w:uiPriority w:val="5"/>
    <w:semiHidden/>
    <w:qFormat/>
    <w:rsid w:val="00002F65"/>
    <w:pPr>
      <w:keepNext/>
      <w:numPr>
        <w:numId w:val="2"/>
      </w:numPr>
      <w:ind w:left="2127"/>
    </w:pPr>
    <w:rPr>
      <w:rFonts w:ascii="Arial Bold" w:hAnsi="Arial Bold"/>
      <w:b/>
    </w:rPr>
  </w:style>
  <w:style w:type="paragraph" w:styleId="Heading5">
    <w:name w:val="heading 5"/>
    <w:basedOn w:val="Normal"/>
    <w:next w:val="Normal"/>
    <w:link w:val="Heading5Char"/>
    <w:uiPriority w:val="5"/>
    <w:semiHidden/>
    <w:qFormat/>
    <w:pPr>
      <w:spacing w:before="240" w:after="60"/>
      <w:outlineLvl w:val="4"/>
    </w:pPr>
    <w:rPr>
      <w:sz w:val="22"/>
    </w:rPr>
  </w:style>
  <w:style w:type="paragraph" w:styleId="Heading6">
    <w:name w:val="heading 6"/>
    <w:basedOn w:val="Normal"/>
    <w:next w:val="Normal"/>
    <w:uiPriority w:val="16"/>
    <w:semiHidden/>
    <w:qFormat/>
    <w:pPr>
      <w:spacing w:before="240" w:after="60"/>
      <w:outlineLvl w:val="5"/>
    </w:pPr>
    <w:rPr>
      <w:rFonts w:ascii="Times New Roman" w:hAnsi="Times New Roman"/>
      <w:i/>
      <w:sz w:val="22"/>
    </w:rPr>
  </w:style>
  <w:style w:type="paragraph" w:styleId="Heading7">
    <w:name w:val="heading 7"/>
    <w:basedOn w:val="Normal"/>
    <w:next w:val="Normal"/>
    <w:uiPriority w:val="16"/>
    <w:semiHidden/>
    <w:qFormat/>
    <w:pPr>
      <w:spacing w:before="240" w:after="60"/>
      <w:outlineLvl w:val="6"/>
    </w:pPr>
    <w:rPr>
      <w:sz w:val="20"/>
    </w:rPr>
  </w:style>
  <w:style w:type="paragraph" w:styleId="Heading8">
    <w:name w:val="heading 8"/>
    <w:basedOn w:val="Normal"/>
    <w:next w:val="Normal"/>
    <w:uiPriority w:val="16"/>
    <w:semiHidden/>
    <w:qFormat/>
    <w:pPr>
      <w:spacing w:before="240" w:after="60"/>
      <w:outlineLvl w:val="7"/>
    </w:pPr>
    <w:rPr>
      <w:i/>
      <w:sz w:val="20"/>
    </w:rPr>
  </w:style>
  <w:style w:type="paragraph" w:styleId="Heading9">
    <w:name w:val="heading 9"/>
    <w:basedOn w:val="Normal"/>
    <w:next w:val="Normal"/>
    <w:uiPriority w:val="16"/>
    <w:semiHidden/>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uiPriority w:val="17"/>
    <w:semiHidden/>
    <w:pPr>
      <w:spacing w:after="210"/>
    </w:pPr>
  </w:style>
  <w:style w:type="paragraph" w:customStyle="1" w:styleId="Body1">
    <w:name w:val="Body 1"/>
    <w:basedOn w:val="Body"/>
    <w:link w:val="Body1Char"/>
    <w:qFormat/>
  </w:style>
  <w:style w:type="paragraph" w:customStyle="1" w:styleId="Body2">
    <w:name w:val="Body 2"/>
    <w:basedOn w:val="Body1"/>
    <w:link w:val="Body2Char"/>
    <w:qFormat/>
    <w:pPr>
      <w:ind w:left="709"/>
    </w:pPr>
  </w:style>
  <w:style w:type="paragraph" w:customStyle="1" w:styleId="Body3">
    <w:name w:val="Body 3"/>
    <w:basedOn w:val="Body2"/>
    <w:link w:val="Body3Char"/>
    <w:qFormat/>
    <w:pPr>
      <w:ind w:left="1418"/>
    </w:pPr>
  </w:style>
  <w:style w:type="paragraph" w:customStyle="1" w:styleId="Body4">
    <w:name w:val="Body 4"/>
    <w:basedOn w:val="Body3"/>
    <w:link w:val="Body4Char"/>
    <w:qFormat/>
    <w:pPr>
      <w:ind w:left="2126"/>
    </w:pPr>
  </w:style>
  <w:style w:type="paragraph" w:customStyle="1" w:styleId="Body5">
    <w:name w:val="Body 5"/>
    <w:basedOn w:val="Body4"/>
    <w:link w:val="Body5Char"/>
    <w:qFormat/>
    <w:pPr>
      <w:ind w:left="2835"/>
    </w:pPr>
  </w:style>
  <w:style w:type="character" w:customStyle="1" w:styleId="BoldText">
    <w:name w:val="BoldText"/>
    <w:basedOn w:val="DefaultParagraphFont"/>
    <w:uiPriority w:val="15"/>
    <w:qFormat/>
    <w:rPr>
      <w:b/>
    </w:rPr>
  </w:style>
  <w:style w:type="paragraph" w:styleId="Footer">
    <w:name w:val="footer"/>
    <w:basedOn w:val="Normal"/>
    <w:link w:val="FooterChar"/>
    <w:uiPriority w:val="13"/>
    <w:unhideWhenUsed/>
    <w:pPr>
      <w:tabs>
        <w:tab w:val="center" w:pos="4536"/>
        <w:tab w:val="right" w:pos="9072"/>
      </w:tabs>
      <w:jc w:val="left"/>
    </w:pPr>
    <w:rPr>
      <w:sz w:val="16"/>
    </w:rPr>
  </w:style>
  <w:style w:type="character" w:styleId="FootnoteReference">
    <w:name w:val="footnote reference"/>
    <w:basedOn w:val="DefaultParagraphFont"/>
    <w:uiPriority w:val="17"/>
    <w:unhideWhenUsed/>
    <w:rPr>
      <w:vertAlign w:val="superscript"/>
    </w:rPr>
  </w:style>
  <w:style w:type="paragraph" w:styleId="FootnoteText">
    <w:name w:val="footnote text"/>
    <w:basedOn w:val="Normal"/>
    <w:uiPriority w:val="17"/>
    <w:unhideWhenUsed/>
    <w:pPr>
      <w:tabs>
        <w:tab w:val="left" w:pos="720"/>
      </w:tabs>
      <w:ind w:left="720" w:hanging="720"/>
    </w:pPr>
    <w:rPr>
      <w:sz w:val="16"/>
    </w:rPr>
  </w:style>
  <w:style w:type="paragraph" w:styleId="Header">
    <w:name w:val="header"/>
    <w:basedOn w:val="Normal"/>
    <w:link w:val="HeaderChar"/>
    <w:uiPriority w:val="39"/>
    <w:unhideWhenUsed/>
    <w:pPr>
      <w:tabs>
        <w:tab w:val="center" w:pos="4536"/>
        <w:tab w:val="right" w:pos="9072"/>
      </w:tabs>
    </w:pPr>
  </w:style>
  <w:style w:type="character" w:customStyle="1" w:styleId="Heading1Text">
    <w:name w:val="Heading 1 Text"/>
    <w:basedOn w:val="BoldText"/>
    <w:uiPriority w:val="14"/>
    <w:qFormat/>
    <w:rPr>
      <w:b/>
      <w:smallCaps/>
    </w:rPr>
  </w:style>
  <w:style w:type="character" w:customStyle="1" w:styleId="Heading2Text">
    <w:name w:val="Heading 2 Text"/>
    <w:basedOn w:val="BoldText"/>
    <w:uiPriority w:val="14"/>
    <w:semiHidden/>
    <w:rPr>
      <w:b/>
    </w:rPr>
  </w:style>
  <w:style w:type="character" w:customStyle="1" w:styleId="Heading3Text">
    <w:name w:val="Heading 3 Text"/>
    <w:basedOn w:val="Heading2Text"/>
    <w:uiPriority w:val="14"/>
    <w:semiHidden/>
    <w:rPr>
      <w:b/>
    </w:rPr>
  </w:style>
  <w:style w:type="character" w:customStyle="1" w:styleId="Heading4Text">
    <w:name w:val="Heading 4 Text"/>
    <w:basedOn w:val="Heading3Text"/>
    <w:uiPriority w:val="14"/>
    <w:semiHidden/>
    <w:rPr>
      <w:b/>
    </w:rPr>
  </w:style>
  <w:style w:type="paragraph" w:customStyle="1" w:styleId="Level1">
    <w:name w:val="Level 1"/>
    <w:basedOn w:val="Body1"/>
    <w:next w:val="Body2"/>
    <w:link w:val="Level1Char"/>
    <w:uiPriority w:val="6"/>
    <w:qFormat/>
    <w:pPr>
      <w:numPr>
        <w:numId w:val="1"/>
      </w:numPr>
      <w:outlineLvl w:val="0"/>
    </w:pPr>
  </w:style>
  <w:style w:type="paragraph" w:customStyle="1" w:styleId="Level2">
    <w:name w:val="Level 2"/>
    <w:basedOn w:val="Body2"/>
    <w:next w:val="Body2"/>
    <w:link w:val="Level2Char"/>
    <w:uiPriority w:val="6"/>
    <w:qFormat/>
    <w:pPr>
      <w:numPr>
        <w:ilvl w:val="1"/>
        <w:numId w:val="1"/>
      </w:numPr>
      <w:outlineLvl w:val="1"/>
    </w:pPr>
  </w:style>
  <w:style w:type="paragraph" w:customStyle="1" w:styleId="Level3">
    <w:name w:val="Level 3"/>
    <w:basedOn w:val="Body3"/>
    <w:next w:val="Body3"/>
    <w:link w:val="Level3Char"/>
    <w:uiPriority w:val="6"/>
    <w:qFormat/>
    <w:pPr>
      <w:numPr>
        <w:ilvl w:val="2"/>
        <w:numId w:val="1"/>
      </w:numPr>
      <w:outlineLvl w:val="2"/>
    </w:pPr>
  </w:style>
  <w:style w:type="paragraph" w:customStyle="1" w:styleId="Level4">
    <w:name w:val="Level 4"/>
    <w:basedOn w:val="Body4"/>
    <w:next w:val="Body4"/>
    <w:link w:val="Level4Char"/>
    <w:uiPriority w:val="6"/>
    <w:qFormat/>
    <w:pPr>
      <w:numPr>
        <w:ilvl w:val="3"/>
        <w:numId w:val="1"/>
      </w:numPr>
      <w:outlineLvl w:val="3"/>
    </w:pPr>
  </w:style>
  <w:style w:type="paragraph" w:customStyle="1" w:styleId="Level5">
    <w:name w:val="Level 5"/>
    <w:basedOn w:val="Body5"/>
    <w:next w:val="Body5"/>
    <w:link w:val="Level5Char"/>
    <w:uiPriority w:val="6"/>
    <w:qFormat/>
    <w:pPr>
      <w:numPr>
        <w:ilvl w:val="4"/>
        <w:numId w:val="1"/>
      </w:numPr>
      <w:outlineLvl w:val="4"/>
    </w:pPr>
  </w:style>
  <w:style w:type="paragraph" w:styleId="TOC1">
    <w:name w:val="toc 1"/>
    <w:basedOn w:val="Body"/>
    <w:uiPriority w:val="39"/>
    <w:semiHidden/>
    <w:rsid w:val="00CD1BF3"/>
    <w:pPr>
      <w:tabs>
        <w:tab w:val="left" w:pos="709"/>
        <w:tab w:val="right" w:pos="9072"/>
      </w:tabs>
      <w:spacing w:after="120"/>
      <w:ind w:left="709" w:right="425" w:hanging="709"/>
      <w:jc w:val="left"/>
    </w:pPr>
    <w:rPr>
      <w:b/>
      <w:smallCaps/>
    </w:rPr>
  </w:style>
  <w:style w:type="paragraph" w:styleId="TOC2">
    <w:name w:val="toc 2"/>
    <w:basedOn w:val="TOC1"/>
    <w:uiPriority w:val="39"/>
    <w:semiHidden/>
    <w:rsid w:val="00547D7B"/>
    <w:pPr>
      <w:tabs>
        <w:tab w:val="left" w:pos="1418"/>
      </w:tabs>
      <w:ind w:left="1418"/>
    </w:pPr>
    <w:rPr>
      <w:smallCaps w:val="0"/>
    </w:rPr>
  </w:style>
  <w:style w:type="paragraph" w:styleId="TOC3">
    <w:name w:val="toc 3"/>
    <w:basedOn w:val="TOC2"/>
    <w:uiPriority w:val="39"/>
    <w:semiHidden/>
    <w:rsid w:val="009B2F07"/>
    <w:pPr>
      <w:ind w:left="2127"/>
    </w:pPr>
  </w:style>
  <w:style w:type="paragraph" w:styleId="TOC4">
    <w:name w:val="toc 4"/>
    <w:basedOn w:val="Normal"/>
    <w:next w:val="Normal"/>
    <w:uiPriority w:val="39"/>
    <w:semiHidden/>
    <w:rsid w:val="008C77D5"/>
    <w:pPr>
      <w:numPr>
        <w:numId w:val="16"/>
      </w:numPr>
      <w:tabs>
        <w:tab w:val="left" w:pos="0"/>
        <w:tab w:val="left" w:pos="709"/>
        <w:tab w:val="right" w:pos="9072"/>
      </w:tabs>
      <w:spacing w:after="120"/>
      <w:ind w:left="709" w:hanging="709"/>
      <w:jc w:val="left"/>
    </w:pPr>
    <w:rPr>
      <w:b/>
      <w:smallCaps/>
    </w:rPr>
  </w:style>
  <w:style w:type="paragraph" w:styleId="BlockText">
    <w:name w:val="Block Text"/>
    <w:basedOn w:val="Normal"/>
    <w:uiPriority w:val="17"/>
    <w:semiHidden/>
    <w:pPr>
      <w:spacing w:after="120"/>
      <w:ind w:left="1440" w:right="1440"/>
    </w:pPr>
  </w:style>
  <w:style w:type="paragraph" w:styleId="BodyText">
    <w:name w:val="Body Text"/>
    <w:basedOn w:val="Normal"/>
    <w:uiPriority w:val="17"/>
    <w:semiHidden/>
    <w:pPr>
      <w:spacing w:after="120"/>
    </w:pPr>
  </w:style>
  <w:style w:type="character" w:customStyle="1" w:styleId="BoldItalicText">
    <w:name w:val="BoldItalicText"/>
    <w:basedOn w:val="DefaultParagraphFont"/>
    <w:uiPriority w:val="17"/>
    <w:semiHidden/>
    <w:rPr>
      <w:b/>
      <w:i/>
    </w:rPr>
  </w:style>
  <w:style w:type="character" w:customStyle="1" w:styleId="ItalicText">
    <w:name w:val="ItalicText"/>
    <w:basedOn w:val="DefaultParagraphFont"/>
    <w:uiPriority w:val="15"/>
    <w:qFormat/>
    <w:rPr>
      <w:i/>
    </w:rPr>
  </w:style>
  <w:style w:type="character" w:customStyle="1" w:styleId="BoldUnderlinedText">
    <w:name w:val="BoldUnderlinedText"/>
    <w:basedOn w:val="DefaultParagraphFont"/>
    <w:uiPriority w:val="17"/>
    <w:semiHidden/>
    <w:rPr>
      <w:b/>
      <w:u w:val="single"/>
    </w:rPr>
  </w:style>
  <w:style w:type="character" w:customStyle="1" w:styleId="UnderlinedText">
    <w:name w:val="UnderlinedText"/>
    <w:basedOn w:val="DefaultParagraphFont"/>
    <w:uiPriority w:val="15"/>
    <w:rPr>
      <w:u w:val="single"/>
    </w:rPr>
  </w:style>
  <w:style w:type="paragraph" w:styleId="BodyText2">
    <w:name w:val="Body Text 2"/>
    <w:basedOn w:val="Normal"/>
    <w:uiPriority w:val="17"/>
    <w:semiHidden/>
    <w:pPr>
      <w:spacing w:after="120" w:line="480" w:lineRule="auto"/>
    </w:pPr>
  </w:style>
  <w:style w:type="paragraph" w:styleId="BodyText3">
    <w:name w:val="Body Text 3"/>
    <w:basedOn w:val="Normal"/>
    <w:uiPriority w:val="17"/>
    <w:semiHidden/>
    <w:pPr>
      <w:spacing w:after="120"/>
    </w:pPr>
    <w:rPr>
      <w:sz w:val="16"/>
    </w:rPr>
  </w:style>
  <w:style w:type="paragraph" w:styleId="BodyTextFirstIndent">
    <w:name w:val="Body Text First Indent"/>
    <w:basedOn w:val="BodyText"/>
    <w:uiPriority w:val="17"/>
    <w:semiHidden/>
    <w:pPr>
      <w:ind w:firstLine="210"/>
    </w:pPr>
  </w:style>
  <w:style w:type="paragraph" w:styleId="BodyTextIndent">
    <w:name w:val="Body Text Indent"/>
    <w:basedOn w:val="Normal"/>
    <w:uiPriority w:val="17"/>
    <w:semiHidden/>
    <w:pPr>
      <w:spacing w:after="120"/>
      <w:ind w:left="283"/>
    </w:pPr>
  </w:style>
  <w:style w:type="paragraph" w:styleId="BodyTextFirstIndent2">
    <w:name w:val="Body Text First Indent 2"/>
    <w:basedOn w:val="BodyTextIndent"/>
    <w:uiPriority w:val="17"/>
    <w:semiHidden/>
    <w:pPr>
      <w:ind w:firstLine="210"/>
    </w:pPr>
  </w:style>
  <w:style w:type="paragraph" w:styleId="BodyTextIndent2">
    <w:name w:val="Body Text Indent 2"/>
    <w:basedOn w:val="Normal"/>
    <w:uiPriority w:val="17"/>
    <w:semiHidden/>
    <w:pPr>
      <w:spacing w:after="120" w:line="480" w:lineRule="auto"/>
      <w:ind w:left="283"/>
    </w:pPr>
  </w:style>
  <w:style w:type="paragraph" w:styleId="BodyTextIndent3">
    <w:name w:val="Body Text Indent 3"/>
    <w:basedOn w:val="Normal"/>
    <w:uiPriority w:val="17"/>
    <w:semiHidden/>
    <w:pPr>
      <w:spacing w:after="120"/>
      <w:ind w:left="283"/>
    </w:pPr>
    <w:rPr>
      <w:sz w:val="16"/>
    </w:rPr>
  </w:style>
  <w:style w:type="paragraph" w:styleId="Caption">
    <w:name w:val="caption"/>
    <w:basedOn w:val="Normal"/>
    <w:next w:val="Normal"/>
    <w:uiPriority w:val="17"/>
    <w:unhideWhenUsed/>
    <w:pPr>
      <w:spacing w:before="120" w:after="120"/>
    </w:pPr>
    <w:rPr>
      <w:b/>
    </w:rPr>
  </w:style>
  <w:style w:type="paragraph" w:styleId="Closing">
    <w:name w:val="Closing"/>
    <w:basedOn w:val="Normal"/>
    <w:uiPriority w:val="17"/>
    <w:semiHidden/>
    <w:pPr>
      <w:ind w:left="4252"/>
    </w:pPr>
  </w:style>
  <w:style w:type="character" w:styleId="CommentReference">
    <w:name w:val="annotation reference"/>
    <w:basedOn w:val="DefaultParagraphFont"/>
    <w:uiPriority w:val="17"/>
    <w:semiHidden/>
    <w:rPr>
      <w:sz w:val="16"/>
    </w:rPr>
  </w:style>
  <w:style w:type="paragraph" w:styleId="CommentText">
    <w:name w:val="annotation text"/>
    <w:basedOn w:val="Normal"/>
    <w:link w:val="CommentTextChar"/>
    <w:uiPriority w:val="17"/>
    <w:semiHidden/>
    <w:rPr>
      <w:sz w:val="20"/>
    </w:rPr>
  </w:style>
  <w:style w:type="paragraph" w:styleId="Date">
    <w:name w:val="Date"/>
    <w:basedOn w:val="Normal"/>
    <w:next w:val="Normal"/>
    <w:uiPriority w:val="17"/>
    <w:semiHidden/>
  </w:style>
  <w:style w:type="paragraph" w:styleId="DocumentMap">
    <w:name w:val="Document Map"/>
    <w:basedOn w:val="Normal"/>
    <w:uiPriority w:val="17"/>
    <w:semiHidden/>
    <w:pPr>
      <w:shd w:val="clear" w:color="auto" w:fill="000080"/>
    </w:pPr>
    <w:rPr>
      <w:rFonts w:ascii="Tahoma" w:hAnsi="Tahoma"/>
    </w:rPr>
  </w:style>
  <w:style w:type="character" w:styleId="Emphasis">
    <w:name w:val="Emphasis"/>
    <w:basedOn w:val="DefaultParagraphFont"/>
    <w:uiPriority w:val="29"/>
    <w:semiHidden/>
    <w:rsid w:val="00E45680"/>
    <w:rPr>
      <w:b/>
      <w:i w:val="0"/>
    </w:rPr>
  </w:style>
  <w:style w:type="character" w:styleId="EndnoteReference">
    <w:name w:val="endnote reference"/>
    <w:basedOn w:val="DefaultParagraphFont"/>
    <w:uiPriority w:val="17"/>
    <w:semiHidden/>
    <w:rPr>
      <w:vertAlign w:val="superscript"/>
    </w:rPr>
  </w:style>
  <w:style w:type="paragraph" w:styleId="EndnoteText">
    <w:name w:val="endnote text"/>
    <w:basedOn w:val="Normal"/>
    <w:uiPriority w:val="17"/>
    <w:semiHidden/>
    <w:rPr>
      <w:sz w:val="20"/>
    </w:rPr>
  </w:style>
  <w:style w:type="paragraph" w:styleId="EnvelopeAddress">
    <w:name w:val="envelope address"/>
    <w:basedOn w:val="Normal"/>
    <w:uiPriority w:val="17"/>
    <w:semiHidden/>
    <w:pPr>
      <w:framePr w:w="7920" w:h="1980" w:hRule="exact" w:hSpace="180" w:wrap="auto" w:hAnchor="page" w:xAlign="center" w:yAlign="bottom"/>
      <w:ind w:left="2880"/>
    </w:pPr>
    <w:rPr>
      <w:sz w:val="24"/>
    </w:rPr>
  </w:style>
  <w:style w:type="paragraph" w:styleId="EnvelopeReturn">
    <w:name w:val="envelope return"/>
    <w:basedOn w:val="Normal"/>
    <w:uiPriority w:val="17"/>
    <w:semiHidden/>
    <w:rPr>
      <w:sz w:val="20"/>
    </w:rPr>
  </w:style>
  <w:style w:type="character" w:styleId="FollowedHyperlink">
    <w:name w:val="FollowedHyperlink"/>
    <w:basedOn w:val="DefaultParagraphFont"/>
    <w:uiPriority w:val="17"/>
    <w:unhideWhenUsed/>
    <w:rPr>
      <w:color w:val="800080"/>
      <w:u w:val="single"/>
    </w:rPr>
  </w:style>
  <w:style w:type="character" w:styleId="Hyperlink">
    <w:name w:val="Hyperlink"/>
    <w:basedOn w:val="DefaultParagraphFont"/>
    <w:uiPriority w:val="16"/>
    <w:rPr>
      <w:color w:val="0000FF"/>
      <w:u w:val="single"/>
    </w:rPr>
  </w:style>
  <w:style w:type="paragraph" w:styleId="Index1">
    <w:name w:val="index 1"/>
    <w:basedOn w:val="Normal"/>
    <w:next w:val="Normal"/>
    <w:autoRedefine/>
    <w:uiPriority w:val="17"/>
    <w:semiHidden/>
    <w:pPr>
      <w:ind w:left="210" w:hanging="210"/>
    </w:pPr>
  </w:style>
  <w:style w:type="paragraph" w:styleId="Index2">
    <w:name w:val="index 2"/>
    <w:basedOn w:val="Normal"/>
    <w:next w:val="Normal"/>
    <w:autoRedefine/>
    <w:uiPriority w:val="17"/>
    <w:semiHidden/>
    <w:pPr>
      <w:ind w:left="420" w:hanging="210"/>
    </w:pPr>
  </w:style>
  <w:style w:type="paragraph" w:styleId="Index3">
    <w:name w:val="index 3"/>
    <w:basedOn w:val="Normal"/>
    <w:next w:val="Normal"/>
    <w:autoRedefine/>
    <w:uiPriority w:val="17"/>
    <w:semiHidden/>
    <w:pPr>
      <w:ind w:left="630" w:hanging="210"/>
    </w:pPr>
  </w:style>
  <w:style w:type="paragraph" w:styleId="Index4">
    <w:name w:val="index 4"/>
    <w:basedOn w:val="Normal"/>
    <w:next w:val="Normal"/>
    <w:autoRedefine/>
    <w:uiPriority w:val="17"/>
    <w:semiHidden/>
    <w:pPr>
      <w:ind w:left="840" w:hanging="210"/>
    </w:pPr>
  </w:style>
  <w:style w:type="paragraph" w:styleId="Index5">
    <w:name w:val="index 5"/>
    <w:basedOn w:val="Normal"/>
    <w:next w:val="Normal"/>
    <w:autoRedefine/>
    <w:uiPriority w:val="17"/>
    <w:semiHidden/>
    <w:pPr>
      <w:ind w:left="1050" w:hanging="210"/>
    </w:pPr>
  </w:style>
  <w:style w:type="paragraph" w:styleId="Index6">
    <w:name w:val="index 6"/>
    <w:basedOn w:val="Normal"/>
    <w:next w:val="Normal"/>
    <w:autoRedefine/>
    <w:uiPriority w:val="17"/>
    <w:semiHidden/>
    <w:pPr>
      <w:ind w:left="1260" w:hanging="210"/>
    </w:pPr>
  </w:style>
  <w:style w:type="paragraph" w:styleId="Index7">
    <w:name w:val="index 7"/>
    <w:basedOn w:val="Normal"/>
    <w:next w:val="Normal"/>
    <w:autoRedefine/>
    <w:uiPriority w:val="17"/>
    <w:semiHidden/>
    <w:pPr>
      <w:ind w:left="1470" w:hanging="210"/>
    </w:pPr>
  </w:style>
  <w:style w:type="paragraph" w:styleId="Index8">
    <w:name w:val="index 8"/>
    <w:basedOn w:val="Normal"/>
    <w:next w:val="Normal"/>
    <w:autoRedefine/>
    <w:uiPriority w:val="17"/>
    <w:semiHidden/>
    <w:pPr>
      <w:ind w:left="1680" w:hanging="210"/>
    </w:pPr>
  </w:style>
  <w:style w:type="paragraph" w:styleId="Index9">
    <w:name w:val="index 9"/>
    <w:basedOn w:val="Normal"/>
    <w:next w:val="Normal"/>
    <w:autoRedefine/>
    <w:uiPriority w:val="17"/>
    <w:semiHidden/>
    <w:pPr>
      <w:ind w:left="1890" w:hanging="210"/>
    </w:pPr>
  </w:style>
  <w:style w:type="paragraph" w:styleId="IndexHeading">
    <w:name w:val="index heading"/>
    <w:basedOn w:val="Normal"/>
    <w:next w:val="Index1"/>
    <w:uiPriority w:val="17"/>
    <w:semiHidden/>
    <w:rPr>
      <w:b/>
    </w:rPr>
  </w:style>
  <w:style w:type="character" w:styleId="LineNumber">
    <w:name w:val="line number"/>
    <w:basedOn w:val="DefaultParagraphFont"/>
    <w:uiPriority w:val="17"/>
    <w:semiHidden/>
  </w:style>
  <w:style w:type="paragraph" w:styleId="MacroText">
    <w:name w:val="macro"/>
    <w:uiPriority w:val="17"/>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kern w:val="28"/>
      <w:lang w:eastAsia="zh-CN"/>
    </w:rPr>
  </w:style>
  <w:style w:type="paragraph" w:styleId="MessageHeader">
    <w:name w:val="Message Header"/>
    <w:basedOn w:val="Normal"/>
    <w:uiPriority w:val="17"/>
    <w:semiHidden/>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Indent">
    <w:name w:val="Normal Indent"/>
    <w:basedOn w:val="Normal"/>
    <w:uiPriority w:val="29"/>
    <w:pPr>
      <w:ind w:left="720"/>
    </w:pPr>
  </w:style>
  <w:style w:type="paragraph" w:styleId="NoteHeading">
    <w:name w:val="Note Heading"/>
    <w:basedOn w:val="Normal"/>
    <w:next w:val="Normal"/>
    <w:uiPriority w:val="17"/>
    <w:semiHidden/>
  </w:style>
  <w:style w:type="character" w:styleId="PageNumber">
    <w:name w:val="page number"/>
    <w:basedOn w:val="DefaultParagraphFont"/>
    <w:uiPriority w:val="17"/>
    <w:semiHidden/>
  </w:style>
  <w:style w:type="paragraph" w:styleId="PlainText">
    <w:name w:val="Plain Text"/>
    <w:basedOn w:val="Normal"/>
    <w:uiPriority w:val="17"/>
    <w:semiHidden/>
    <w:rPr>
      <w:rFonts w:ascii="Courier New" w:hAnsi="Courier New"/>
      <w:sz w:val="20"/>
    </w:rPr>
  </w:style>
  <w:style w:type="paragraph" w:styleId="Salutation">
    <w:name w:val="Salutation"/>
    <w:basedOn w:val="Normal"/>
    <w:next w:val="Normal"/>
    <w:uiPriority w:val="17"/>
    <w:semiHidden/>
  </w:style>
  <w:style w:type="paragraph" w:styleId="Signature">
    <w:name w:val="Signature"/>
    <w:basedOn w:val="Normal"/>
    <w:uiPriority w:val="17"/>
    <w:semiHidden/>
    <w:pPr>
      <w:ind w:left="4252"/>
    </w:pPr>
  </w:style>
  <w:style w:type="paragraph" w:customStyle="1" w:styleId="CentredSubheading">
    <w:name w:val="Centred Subheading"/>
    <w:basedOn w:val="Centred"/>
    <w:next w:val="Body1"/>
    <w:uiPriority w:val="13"/>
    <w:qFormat/>
    <w:rsid w:val="006E1EA1"/>
    <w:rPr>
      <w:b/>
    </w:rPr>
  </w:style>
  <w:style w:type="paragraph" w:styleId="TableofAuthorities">
    <w:name w:val="table of authorities"/>
    <w:basedOn w:val="Normal"/>
    <w:next w:val="Normal"/>
    <w:uiPriority w:val="17"/>
    <w:semiHidden/>
    <w:pPr>
      <w:ind w:left="210" w:hanging="210"/>
    </w:pPr>
  </w:style>
  <w:style w:type="paragraph" w:styleId="TableofFigures">
    <w:name w:val="table of figures"/>
    <w:basedOn w:val="Normal"/>
    <w:next w:val="Normal"/>
    <w:uiPriority w:val="17"/>
    <w:semiHidden/>
    <w:pPr>
      <w:ind w:left="420" w:hanging="420"/>
    </w:pPr>
  </w:style>
  <w:style w:type="paragraph" w:styleId="TOAHeading">
    <w:name w:val="toa heading"/>
    <w:basedOn w:val="Normal"/>
    <w:next w:val="Normal"/>
    <w:uiPriority w:val="49"/>
    <w:semiHidden/>
    <w:pPr>
      <w:spacing w:before="120"/>
    </w:pPr>
    <w:rPr>
      <w:b/>
      <w:sz w:val="24"/>
    </w:rPr>
  </w:style>
  <w:style w:type="paragraph" w:styleId="TOC5">
    <w:name w:val="toc 5"/>
    <w:basedOn w:val="Body1"/>
    <w:next w:val="Body1"/>
    <w:uiPriority w:val="49"/>
    <w:semiHidden/>
    <w:rsid w:val="00436B0E"/>
    <w:pPr>
      <w:spacing w:after="120"/>
      <w:ind w:left="709"/>
      <w:contextualSpacing/>
      <w:jc w:val="left"/>
    </w:pPr>
    <w:rPr>
      <w:b/>
    </w:rPr>
  </w:style>
  <w:style w:type="paragraph" w:styleId="TOC6">
    <w:name w:val="toc 6"/>
    <w:basedOn w:val="Normal"/>
    <w:next w:val="Normal"/>
    <w:uiPriority w:val="49"/>
    <w:semiHidden/>
    <w:pPr>
      <w:ind w:left="1050"/>
    </w:pPr>
  </w:style>
  <w:style w:type="paragraph" w:styleId="TOC7">
    <w:name w:val="toc 7"/>
    <w:basedOn w:val="Normal"/>
    <w:next w:val="Normal"/>
    <w:uiPriority w:val="49"/>
    <w:semiHidden/>
    <w:pPr>
      <w:ind w:left="1260"/>
    </w:pPr>
  </w:style>
  <w:style w:type="paragraph" w:styleId="TOC8">
    <w:name w:val="toc 8"/>
    <w:basedOn w:val="Normal"/>
    <w:next w:val="Normal"/>
    <w:uiPriority w:val="49"/>
    <w:semiHidden/>
    <w:pPr>
      <w:ind w:left="1470"/>
    </w:pPr>
  </w:style>
  <w:style w:type="paragraph" w:styleId="TOC9">
    <w:name w:val="toc 9"/>
    <w:basedOn w:val="Normal"/>
    <w:next w:val="Normal"/>
    <w:uiPriority w:val="49"/>
    <w:semiHidden/>
    <w:pPr>
      <w:ind w:left="1680"/>
    </w:pPr>
  </w:style>
  <w:style w:type="paragraph" w:customStyle="1" w:styleId="Centred">
    <w:name w:val="Centred"/>
    <w:basedOn w:val="Body"/>
    <w:next w:val="Body1"/>
    <w:uiPriority w:val="13"/>
    <w:pPr>
      <w:keepNext/>
      <w:jc w:val="center"/>
    </w:pPr>
  </w:style>
  <w:style w:type="paragraph" w:customStyle="1" w:styleId="Parties">
    <w:name w:val="Parties"/>
    <w:basedOn w:val="Body"/>
    <w:next w:val="Body2"/>
    <w:uiPriority w:val="9"/>
    <w:qFormat/>
    <w:pPr>
      <w:numPr>
        <w:numId w:val="3"/>
      </w:numPr>
    </w:pPr>
  </w:style>
  <w:style w:type="paragraph" w:customStyle="1" w:styleId="Recitals">
    <w:name w:val="Recitals"/>
    <w:basedOn w:val="Body"/>
    <w:next w:val="Body2"/>
    <w:uiPriority w:val="9"/>
    <w:qFormat/>
    <w:pPr>
      <w:numPr>
        <w:numId w:val="4"/>
      </w:numPr>
    </w:pPr>
  </w:style>
  <w:style w:type="paragraph" w:styleId="TOCHeading">
    <w:name w:val="TOC Heading"/>
    <w:basedOn w:val="Heading1"/>
    <w:next w:val="Normal"/>
    <w:uiPriority w:val="49"/>
    <w:semiHidden/>
    <w:rsid w:val="00AE6229"/>
    <w:pPr>
      <w:keepLines/>
      <w:tabs>
        <w:tab w:val="right" w:pos="9072"/>
      </w:tabs>
      <w:spacing w:after="240"/>
      <w:jc w:val="center"/>
      <w:outlineLvl w:val="9"/>
    </w:pPr>
    <w:rPr>
      <w:rFonts w:eastAsiaTheme="majorEastAsia" w:cstheme="majorBidi"/>
      <w:bCs/>
      <w:szCs w:val="28"/>
    </w:rPr>
  </w:style>
  <w:style w:type="character" w:customStyle="1" w:styleId="CommentTextChar">
    <w:name w:val="Comment Text Char"/>
    <w:basedOn w:val="DefaultParagraphFont"/>
    <w:link w:val="CommentText"/>
    <w:uiPriority w:val="17"/>
    <w:semiHidden/>
    <w:rsid w:val="00ED08A9"/>
    <w:rPr>
      <w:sz w:val="20"/>
    </w:rPr>
  </w:style>
  <w:style w:type="paragraph" w:customStyle="1" w:styleId="Address">
    <w:name w:val="Address"/>
    <w:basedOn w:val="Normal"/>
    <w:uiPriority w:val="17"/>
    <w:rsid w:val="00671861"/>
    <w:pPr>
      <w:jc w:val="center"/>
    </w:pPr>
    <w:rPr>
      <w:sz w:val="16"/>
      <w:szCs w:val="16"/>
      <w:lang w:eastAsia="en-US"/>
    </w:rPr>
  </w:style>
  <w:style w:type="paragraph" w:customStyle="1" w:styleId="NormalCentred">
    <w:name w:val="Normal Centred"/>
    <w:basedOn w:val="Normal"/>
    <w:uiPriority w:val="9"/>
    <w:rsid w:val="00671861"/>
    <w:pPr>
      <w:jc w:val="center"/>
    </w:pPr>
    <w:rPr>
      <w:szCs w:val="24"/>
      <w:lang w:eastAsia="en-US"/>
    </w:rPr>
  </w:style>
  <w:style w:type="character" w:customStyle="1" w:styleId="SmallCaps">
    <w:name w:val="SmallCaps"/>
    <w:basedOn w:val="DefaultParagraphFont"/>
    <w:uiPriority w:val="17"/>
    <w:semiHidden/>
    <w:rsid w:val="00671861"/>
    <w:rPr>
      <w:rFonts w:ascii="Arial" w:hAnsi="Arial"/>
      <w:smallCaps/>
      <w:sz w:val="21"/>
    </w:rPr>
  </w:style>
  <w:style w:type="paragraph" w:styleId="BalloonText">
    <w:name w:val="Balloon Text"/>
    <w:basedOn w:val="Normal"/>
    <w:link w:val="BalloonTextChar"/>
    <w:uiPriority w:val="17"/>
    <w:unhideWhenUsed/>
    <w:rsid w:val="006718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17"/>
    <w:rsid w:val="00ED08A9"/>
    <w:rPr>
      <w:rFonts w:ascii="Tahoma" w:hAnsi="Tahoma" w:cs="Tahoma"/>
      <w:sz w:val="16"/>
      <w:szCs w:val="16"/>
    </w:rPr>
  </w:style>
  <w:style w:type="character" w:customStyle="1" w:styleId="FooterChar">
    <w:name w:val="Footer Char"/>
    <w:basedOn w:val="DefaultParagraphFont"/>
    <w:link w:val="Footer"/>
    <w:uiPriority w:val="13"/>
    <w:rsid w:val="00ED08A9"/>
    <w:rPr>
      <w:sz w:val="16"/>
    </w:rPr>
  </w:style>
  <w:style w:type="character" w:customStyle="1" w:styleId="HeaderChar">
    <w:name w:val="Header Char"/>
    <w:basedOn w:val="DefaultParagraphFont"/>
    <w:link w:val="Header"/>
    <w:uiPriority w:val="39"/>
    <w:rsid w:val="00ED08A9"/>
  </w:style>
  <w:style w:type="character" w:styleId="PlaceholderText">
    <w:name w:val="Placeholder Text"/>
    <w:basedOn w:val="DefaultParagraphFont"/>
    <w:uiPriority w:val="99"/>
    <w:semiHidden/>
    <w:rsid w:val="004B05D7"/>
    <w:rPr>
      <w:color w:val="808080"/>
    </w:rPr>
  </w:style>
  <w:style w:type="paragraph" w:customStyle="1" w:styleId="CentredHeading">
    <w:name w:val="Centred Heading"/>
    <w:basedOn w:val="Body1"/>
    <w:next w:val="Body1"/>
    <w:uiPriority w:val="13"/>
    <w:qFormat/>
    <w:rsid w:val="000A7590"/>
    <w:pPr>
      <w:keepNext/>
      <w:jc w:val="center"/>
    </w:pPr>
    <w:rPr>
      <w:b/>
      <w:smallCaps/>
    </w:rPr>
  </w:style>
  <w:style w:type="paragraph" w:styleId="NormalWeb">
    <w:name w:val="Normal (Web)"/>
    <w:basedOn w:val="Normal"/>
    <w:uiPriority w:val="29"/>
    <w:rsid w:val="00F95754"/>
    <w:rPr>
      <w:szCs w:val="24"/>
    </w:rPr>
  </w:style>
  <w:style w:type="paragraph" w:styleId="Subtitle">
    <w:name w:val="Subtitle"/>
    <w:basedOn w:val="Body"/>
    <w:next w:val="Body1"/>
    <w:link w:val="SubtitleChar"/>
    <w:uiPriority w:val="18"/>
    <w:rsid w:val="00615756"/>
    <w:pPr>
      <w:numPr>
        <w:ilvl w:val="1"/>
      </w:numPr>
    </w:pPr>
    <w:rPr>
      <w:rFonts w:ascii="Arial Bold" w:eastAsiaTheme="majorEastAsia" w:hAnsi="Arial Bold" w:cstheme="majorBidi"/>
      <w:b/>
      <w:iCs/>
      <w:spacing w:val="15"/>
      <w:szCs w:val="24"/>
    </w:rPr>
  </w:style>
  <w:style w:type="character" w:customStyle="1" w:styleId="SubtitleChar">
    <w:name w:val="Subtitle Char"/>
    <w:basedOn w:val="DefaultParagraphFont"/>
    <w:link w:val="Subtitle"/>
    <w:uiPriority w:val="18"/>
    <w:rsid w:val="00ED08A9"/>
    <w:rPr>
      <w:rFonts w:ascii="Arial Bold" w:eastAsiaTheme="majorEastAsia" w:hAnsi="Arial Bold" w:cstheme="majorBidi"/>
      <w:b/>
      <w:iCs/>
      <w:spacing w:val="15"/>
      <w:szCs w:val="24"/>
    </w:rPr>
  </w:style>
  <w:style w:type="character" w:styleId="BookTitle">
    <w:name w:val="Book Title"/>
    <w:basedOn w:val="DefaultParagraphFont"/>
    <w:uiPriority w:val="43"/>
    <w:semiHidden/>
    <w:rsid w:val="00D25E01"/>
    <w:rPr>
      <w:b/>
      <w:bCs/>
      <w:smallCaps/>
      <w:spacing w:val="5"/>
    </w:rPr>
  </w:style>
  <w:style w:type="paragraph" w:styleId="Quote">
    <w:name w:val="Quote"/>
    <w:basedOn w:val="Normal"/>
    <w:next w:val="Normal"/>
    <w:link w:val="QuoteChar"/>
    <w:uiPriority w:val="39"/>
    <w:semiHidden/>
    <w:rsid w:val="00D25E01"/>
    <w:rPr>
      <w:i/>
      <w:iCs/>
      <w:color w:val="4D5357" w:themeColor="text1"/>
    </w:rPr>
  </w:style>
  <w:style w:type="character" w:customStyle="1" w:styleId="QuoteChar">
    <w:name w:val="Quote Char"/>
    <w:basedOn w:val="DefaultParagraphFont"/>
    <w:link w:val="Quote"/>
    <w:uiPriority w:val="39"/>
    <w:semiHidden/>
    <w:rsid w:val="00ED08A9"/>
    <w:rPr>
      <w:i/>
      <w:iCs/>
      <w:color w:val="4D5357" w:themeColor="text1"/>
    </w:rPr>
  </w:style>
  <w:style w:type="paragraph" w:styleId="ListParagraph">
    <w:name w:val="List Paragraph"/>
    <w:basedOn w:val="Normal"/>
    <w:uiPriority w:val="44"/>
    <w:rsid w:val="00D25E01"/>
    <w:pPr>
      <w:ind w:left="720"/>
      <w:contextualSpacing/>
    </w:pPr>
  </w:style>
  <w:style w:type="paragraph" w:styleId="Title">
    <w:name w:val="Title"/>
    <w:basedOn w:val="Body"/>
    <w:next w:val="Body1"/>
    <w:link w:val="TitleChar"/>
    <w:uiPriority w:val="18"/>
    <w:rsid w:val="00615756"/>
    <w:rPr>
      <w:rFonts w:eastAsiaTheme="majorEastAsia" w:cstheme="majorBidi"/>
      <w:b/>
      <w:smallCaps/>
      <w:spacing w:val="5"/>
      <w:kern w:val="28"/>
      <w:szCs w:val="52"/>
    </w:rPr>
  </w:style>
  <w:style w:type="character" w:customStyle="1" w:styleId="TitleChar">
    <w:name w:val="Title Char"/>
    <w:basedOn w:val="DefaultParagraphFont"/>
    <w:link w:val="Title"/>
    <w:uiPriority w:val="18"/>
    <w:rsid w:val="00ED08A9"/>
    <w:rPr>
      <w:rFonts w:eastAsiaTheme="majorEastAsia" w:cstheme="majorBidi"/>
      <w:b/>
      <w:smallCaps/>
      <w:spacing w:val="5"/>
      <w:kern w:val="28"/>
      <w:szCs w:val="52"/>
    </w:rPr>
  </w:style>
  <w:style w:type="paragraph" w:styleId="NoSpacing">
    <w:name w:val="No Spacing"/>
    <w:uiPriority w:val="29"/>
    <w:rsid w:val="007F7F66"/>
    <w:pPr>
      <w:spacing w:line="240" w:lineRule="auto"/>
    </w:pPr>
  </w:style>
  <w:style w:type="paragraph" w:customStyle="1" w:styleId="SchTitle">
    <w:name w:val="Sch  Title"/>
    <w:basedOn w:val="SchSubtitle"/>
    <w:next w:val="SchSubtitle"/>
    <w:uiPriority w:val="10"/>
    <w:qFormat/>
    <w:rsid w:val="00BE7F58"/>
    <w:pPr>
      <w:numPr>
        <w:ilvl w:val="0"/>
      </w:numPr>
    </w:pPr>
    <w:rPr>
      <w:smallCaps/>
    </w:rPr>
  </w:style>
  <w:style w:type="paragraph" w:customStyle="1" w:styleId="SchSubtitle">
    <w:name w:val="Sch  Subtitle"/>
    <w:basedOn w:val="Body"/>
    <w:next w:val="Body2"/>
    <w:uiPriority w:val="11"/>
    <w:qFormat/>
    <w:rsid w:val="00BE7F58"/>
    <w:pPr>
      <w:keepNext/>
      <w:numPr>
        <w:ilvl w:val="1"/>
        <w:numId w:val="5"/>
      </w:numPr>
      <w:jc w:val="center"/>
    </w:pPr>
    <w:rPr>
      <w:b/>
    </w:rPr>
  </w:style>
  <w:style w:type="paragraph" w:customStyle="1" w:styleId="SchNumber1">
    <w:name w:val="Sch Number 1"/>
    <w:basedOn w:val="Level1"/>
    <w:next w:val="Body2"/>
    <w:link w:val="SchNumber1Char"/>
    <w:uiPriority w:val="12"/>
    <w:qFormat/>
    <w:rsid w:val="00FC3332"/>
    <w:pPr>
      <w:numPr>
        <w:ilvl w:val="2"/>
        <w:numId w:val="5"/>
      </w:numPr>
    </w:pPr>
  </w:style>
  <w:style w:type="paragraph" w:customStyle="1" w:styleId="SchNumber2">
    <w:name w:val="Sch Number 2"/>
    <w:basedOn w:val="Level2"/>
    <w:next w:val="Body2"/>
    <w:link w:val="SchNumber2Char"/>
    <w:uiPriority w:val="12"/>
    <w:qFormat/>
    <w:rsid w:val="00FC3332"/>
    <w:pPr>
      <w:numPr>
        <w:ilvl w:val="3"/>
        <w:numId w:val="5"/>
      </w:numPr>
    </w:pPr>
  </w:style>
  <w:style w:type="paragraph" w:customStyle="1" w:styleId="SchNumber3">
    <w:name w:val="Sch Number 3"/>
    <w:basedOn w:val="Level3"/>
    <w:next w:val="Body2"/>
    <w:link w:val="SchNumber3Char"/>
    <w:uiPriority w:val="12"/>
    <w:qFormat/>
    <w:rsid w:val="00FC3332"/>
    <w:pPr>
      <w:numPr>
        <w:ilvl w:val="4"/>
        <w:numId w:val="5"/>
      </w:numPr>
    </w:pPr>
  </w:style>
  <w:style w:type="paragraph" w:customStyle="1" w:styleId="SchNumber4">
    <w:name w:val="Sch Number 4"/>
    <w:basedOn w:val="Level4"/>
    <w:next w:val="Body4"/>
    <w:link w:val="SchNumber4Char"/>
    <w:uiPriority w:val="12"/>
    <w:qFormat/>
    <w:rsid w:val="00FC3332"/>
    <w:pPr>
      <w:numPr>
        <w:ilvl w:val="5"/>
        <w:numId w:val="5"/>
      </w:numPr>
    </w:pPr>
  </w:style>
  <w:style w:type="paragraph" w:customStyle="1" w:styleId="SchNumber5">
    <w:name w:val="Sch Number 5"/>
    <w:basedOn w:val="Level5"/>
    <w:next w:val="Body5"/>
    <w:link w:val="SchNumber5Char"/>
    <w:uiPriority w:val="12"/>
    <w:qFormat/>
    <w:rsid w:val="00FC3332"/>
    <w:pPr>
      <w:numPr>
        <w:ilvl w:val="6"/>
        <w:numId w:val="5"/>
      </w:numPr>
    </w:pPr>
  </w:style>
  <w:style w:type="paragraph" w:customStyle="1" w:styleId="SchHeading1">
    <w:name w:val="Sch Heading 1"/>
    <w:basedOn w:val="SchNumber1"/>
    <w:next w:val="Body2"/>
    <w:link w:val="SchHeading1Char"/>
    <w:uiPriority w:val="12"/>
    <w:qFormat/>
    <w:rsid w:val="00665A5B"/>
    <w:pPr>
      <w:keepNext/>
    </w:pPr>
    <w:rPr>
      <w:b/>
      <w:smallCaps/>
    </w:rPr>
  </w:style>
  <w:style w:type="paragraph" w:customStyle="1" w:styleId="SchHeading2">
    <w:name w:val="Sch Heading 2"/>
    <w:basedOn w:val="SchNumber2"/>
    <w:next w:val="Body2"/>
    <w:link w:val="SchHeading2Char"/>
    <w:uiPriority w:val="12"/>
    <w:qFormat/>
    <w:rsid w:val="00665A5B"/>
    <w:pPr>
      <w:keepNext/>
    </w:pPr>
    <w:rPr>
      <w:b/>
    </w:rPr>
  </w:style>
  <w:style w:type="paragraph" w:customStyle="1" w:styleId="Heading1Restart">
    <w:name w:val="Heading 1 Restart"/>
    <w:basedOn w:val="Heading1"/>
    <w:next w:val="Body2"/>
    <w:link w:val="Heading1RestartChar"/>
    <w:uiPriority w:val="13"/>
    <w:semiHidden/>
    <w:rsid w:val="000D77B5"/>
    <w:pPr>
      <w:numPr>
        <w:numId w:val="0"/>
      </w:numPr>
      <w:tabs>
        <w:tab w:val="left" w:pos="709"/>
      </w:tabs>
      <w:ind w:left="709" w:hanging="709"/>
    </w:pPr>
  </w:style>
  <w:style w:type="character" w:customStyle="1" w:styleId="Heading1RestartChar">
    <w:name w:val="Heading 1 Restart Char"/>
    <w:link w:val="Heading1Restart"/>
    <w:uiPriority w:val="13"/>
    <w:semiHidden/>
    <w:rsid w:val="00ED08A9"/>
    <w:rPr>
      <w:rFonts w:eastAsia="Arial Unicode MS"/>
      <w:b/>
      <w:smallCaps/>
    </w:rPr>
  </w:style>
  <w:style w:type="paragraph" w:customStyle="1" w:styleId="Heading2Restart">
    <w:name w:val="Heading 2 Restart"/>
    <w:basedOn w:val="Heading2"/>
    <w:next w:val="Body2"/>
    <w:link w:val="Heading2RestartChar"/>
    <w:uiPriority w:val="13"/>
    <w:semiHidden/>
    <w:rsid w:val="000D77B5"/>
    <w:pPr>
      <w:numPr>
        <w:ilvl w:val="0"/>
        <w:numId w:val="0"/>
      </w:numPr>
      <w:tabs>
        <w:tab w:val="left" w:pos="709"/>
      </w:tabs>
      <w:ind w:left="709" w:hanging="709"/>
    </w:pPr>
  </w:style>
  <w:style w:type="paragraph" w:customStyle="1" w:styleId="Heading3Restart">
    <w:name w:val="Heading 3 Restart"/>
    <w:basedOn w:val="Heading3"/>
    <w:next w:val="Body3"/>
    <w:link w:val="Heading3RestartChar"/>
    <w:uiPriority w:val="13"/>
    <w:semiHidden/>
    <w:qFormat/>
    <w:rsid w:val="000D77B5"/>
    <w:pPr>
      <w:numPr>
        <w:ilvl w:val="0"/>
        <w:numId w:val="0"/>
      </w:numPr>
      <w:ind w:left="1418" w:hanging="709"/>
    </w:pPr>
  </w:style>
  <w:style w:type="character" w:customStyle="1" w:styleId="Heading3RestartChar">
    <w:name w:val="Heading 3 Restart Char"/>
    <w:link w:val="Heading3Restart"/>
    <w:uiPriority w:val="13"/>
    <w:semiHidden/>
    <w:rsid w:val="00ED08A9"/>
    <w:rPr>
      <w:rFonts w:eastAsia="Arial Unicode MS"/>
      <w:b/>
    </w:rPr>
  </w:style>
  <w:style w:type="character" w:customStyle="1" w:styleId="BodyChar">
    <w:name w:val="Body Char"/>
    <w:basedOn w:val="DefaultParagraphFont"/>
    <w:link w:val="Body"/>
    <w:uiPriority w:val="17"/>
    <w:semiHidden/>
    <w:rsid w:val="00ED08A9"/>
  </w:style>
  <w:style w:type="character" w:customStyle="1" w:styleId="Body1Char">
    <w:name w:val="Body 1 Char"/>
    <w:basedOn w:val="BodyChar"/>
    <w:link w:val="Body1"/>
    <w:rsid w:val="000D77B5"/>
  </w:style>
  <w:style w:type="character" w:customStyle="1" w:styleId="Body2Char">
    <w:name w:val="Body 2 Char"/>
    <w:basedOn w:val="Body1Char"/>
    <w:link w:val="Body2"/>
    <w:rsid w:val="000D77B5"/>
  </w:style>
  <w:style w:type="character" w:customStyle="1" w:styleId="Level2Char">
    <w:name w:val="Level 2 Char"/>
    <w:basedOn w:val="Body2Char"/>
    <w:link w:val="Level2"/>
    <w:uiPriority w:val="6"/>
    <w:rsid w:val="00ED08A9"/>
  </w:style>
  <w:style w:type="character" w:customStyle="1" w:styleId="Heading2Char">
    <w:name w:val="Heading 2 Char"/>
    <w:basedOn w:val="Level2Char"/>
    <w:link w:val="Heading2"/>
    <w:uiPriority w:val="4"/>
    <w:rsid w:val="00ED08A9"/>
    <w:rPr>
      <w:b/>
    </w:rPr>
  </w:style>
  <w:style w:type="character" w:customStyle="1" w:styleId="Heading2RestartChar">
    <w:name w:val="Heading 2 Restart Char"/>
    <w:basedOn w:val="Heading2Char"/>
    <w:link w:val="Heading2Restart"/>
    <w:uiPriority w:val="13"/>
    <w:semiHidden/>
    <w:rsid w:val="00ED08A9"/>
    <w:rPr>
      <w:rFonts w:eastAsia="Arial Unicode MS"/>
      <w:b/>
    </w:rPr>
  </w:style>
  <w:style w:type="numbering" w:customStyle="1" w:styleId="SchCustomList">
    <w:name w:val="Sch Custom List"/>
    <w:basedOn w:val="NoList"/>
    <w:uiPriority w:val="99"/>
    <w:rsid w:val="00FC3332"/>
    <w:pPr>
      <w:numPr>
        <w:numId w:val="5"/>
      </w:numPr>
    </w:pPr>
  </w:style>
  <w:style w:type="character" w:customStyle="1" w:styleId="Body3Char">
    <w:name w:val="Body 3 Char"/>
    <w:basedOn w:val="Body2Char"/>
    <w:link w:val="Body3"/>
    <w:rsid w:val="00C10D16"/>
  </w:style>
  <w:style w:type="character" w:customStyle="1" w:styleId="Body4Char">
    <w:name w:val="Body 4 Char"/>
    <w:basedOn w:val="Body3Char"/>
    <w:link w:val="Body4"/>
    <w:rsid w:val="00C10D16"/>
  </w:style>
  <w:style w:type="character" w:customStyle="1" w:styleId="Body5Char">
    <w:name w:val="Body 5 Char"/>
    <w:basedOn w:val="Body4Char"/>
    <w:link w:val="Body5"/>
    <w:rsid w:val="00C10D16"/>
  </w:style>
  <w:style w:type="character" w:customStyle="1" w:styleId="Level1Char">
    <w:name w:val="Level 1 Char"/>
    <w:basedOn w:val="Body1Char"/>
    <w:link w:val="Level1"/>
    <w:uiPriority w:val="6"/>
    <w:rsid w:val="00ED08A9"/>
  </w:style>
  <w:style w:type="character" w:customStyle="1" w:styleId="Heading1Char">
    <w:name w:val="Heading 1 Char"/>
    <w:basedOn w:val="Level1Char"/>
    <w:link w:val="Heading1"/>
    <w:uiPriority w:val="4"/>
    <w:rsid w:val="00ED08A9"/>
    <w:rPr>
      <w:b/>
      <w:smallCaps/>
    </w:rPr>
  </w:style>
  <w:style w:type="character" w:customStyle="1" w:styleId="Level3Char">
    <w:name w:val="Level 3 Char"/>
    <w:basedOn w:val="Body3Char"/>
    <w:link w:val="Level3"/>
    <w:uiPriority w:val="6"/>
    <w:rsid w:val="00ED08A9"/>
  </w:style>
  <w:style w:type="character" w:customStyle="1" w:styleId="Heading3Char">
    <w:name w:val="Heading 3 Char"/>
    <w:basedOn w:val="Level3Char"/>
    <w:link w:val="Heading3"/>
    <w:uiPriority w:val="4"/>
    <w:rsid w:val="00ED08A9"/>
    <w:rPr>
      <w:b/>
    </w:rPr>
  </w:style>
  <w:style w:type="character" w:customStyle="1" w:styleId="Level4Char">
    <w:name w:val="Level 4 Char"/>
    <w:basedOn w:val="Body4Char"/>
    <w:link w:val="Level4"/>
    <w:uiPriority w:val="6"/>
    <w:rsid w:val="00ED08A9"/>
  </w:style>
  <w:style w:type="character" w:customStyle="1" w:styleId="Heading4Char">
    <w:name w:val="Heading 4 Char"/>
    <w:basedOn w:val="Level4Char"/>
    <w:link w:val="Heading4"/>
    <w:uiPriority w:val="5"/>
    <w:semiHidden/>
    <w:rsid w:val="00ED08A9"/>
    <w:rPr>
      <w:rFonts w:ascii="Arial Bold" w:hAnsi="Arial Bold"/>
      <w:b/>
    </w:rPr>
  </w:style>
  <w:style w:type="character" w:customStyle="1" w:styleId="Heading5Char">
    <w:name w:val="Heading 5 Char"/>
    <w:basedOn w:val="DefaultParagraphFont"/>
    <w:link w:val="Heading5"/>
    <w:uiPriority w:val="5"/>
    <w:semiHidden/>
    <w:rsid w:val="00ED08A9"/>
    <w:rPr>
      <w:sz w:val="22"/>
    </w:rPr>
  </w:style>
  <w:style w:type="character" w:customStyle="1" w:styleId="Level5Char">
    <w:name w:val="Level 5 Char"/>
    <w:basedOn w:val="Body5Char"/>
    <w:link w:val="Level5"/>
    <w:uiPriority w:val="6"/>
    <w:rsid w:val="00ED08A9"/>
  </w:style>
  <w:style w:type="character" w:customStyle="1" w:styleId="SchNumber1Char">
    <w:name w:val="Sch Number 1 Char"/>
    <w:basedOn w:val="Level1Char"/>
    <w:link w:val="SchNumber1"/>
    <w:uiPriority w:val="12"/>
    <w:rsid w:val="00ED08A9"/>
    <w:rPr>
      <w:rFonts w:eastAsia="Arial Unicode MS"/>
    </w:rPr>
  </w:style>
  <w:style w:type="character" w:customStyle="1" w:styleId="SchHeading1Char">
    <w:name w:val="Sch Heading 1 Char"/>
    <w:basedOn w:val="SchNumber1Char"/>
    <w:link w:val="SchHeading1"/>
    <w:uiPriority w:val="12"/>
    <w:rsid w:val="00665A5B"/>
    <w:rPr>
      <w:rFonts w:eastAsia="Arial Unicode MS"/>
      <w:b/>
      <w:smallCaps/>
    </w:rPr>
  </w:style>
  <w:style w:type="character" w:customStyle="1" w:styleId="SchNumber2Char">
    <w:name w:val="Sch Number 2 Char"/>
    <w:basedOn w:val="Level2Char"/>
    <w:link w:val="SchNumber2"/>
    <w:uiPriority w:val="12"/>
    <w:rsid w:val="00ED08A9"/>
    <w:rPr>
      <w:rFonts w:eastAsia="Arial Unicode MS"/>
    </w:rPr>
  </w:style>
  <w:style w:type="character" w:customStyle="1" w:styleId="SchHeading2Char">
    <w:name w:val="Sch Heading 2 Char"/>
    <w:basedOn w:val="SchNumber2Char"/>
    <w:link w:val="SchHeading2"/>
    <w:uiPriority w:val="12"/>
    <w:rsid w:val="00665A5B"/>
    <w:rPr>
      <w:rFonts w:eastAsia="Arial Unicode MS"/>
      <w:b/>
    </w:rPr>
  </w:style>
  <w:style w:type="character" w:customStyle="1" w:styleId="SchNumber3Char">
    <w:name w:val="Sch Number 3 Char"/>
    <w:basedOn w:val="Level3Char"/>
    <w:link w:val="SchNumber3"/>
    <w:uiPriority w:val="12"/>
    <w:rsid w:val="00ED08A9"/>
    <w:rPr>
      <w:rFonts w:eastAsia="Arial Unicode MS"/>
    </w:rPr>
  </w:style>
  <w:style w:type="character" w:customStyle="1" w:styleId="SchNumber4Char">
    <w:name w:val="Sch Number 4 Char"/>
    <w:basedOn w:val="Level4Char"/>
    <w:link w:val="SchNumber4"/>
    <w:uiPriority w:val="12"/>
    <w:rsid w:val="00ED08A9"/>
    <w:rPr>
      <w:rFonts w:eastAsia="Arial Unicode MS"/>
    </w:rPr>
  </w:style>
  <w:style w:type="character" w:customStyle="1" w:styleId="SchNumber5Char">
    <w:name w:val="Sch Number 5 Char"/>
    <w:basedOn w:val="Level5Char"/>
    <w:link w:val="SchNumber5"/>
    <w:uiPriority w:val="12"/>
    <w:rsid w:val="00ED08A9"/>
    <w:rPr>
      <w:rFonts w:eastAsia="Arial Unicode MS"/>
    </w:rPr>
  </w:style>
  <w:style w:type="paragraph" w:customStyle="1" w:styleId="SchHeading3">
    <w:name w:val="Sch Heading 3"/>
    <w:basedOn w:val="SchNumber3"/>
    <w:next w:val="Body3"/>
    <w:link w:val="SchHeading3Char"/>
    <w:uiPriority w:val="12"/>
    <w:qFormat/>
    <w:rsid w:val="00665A5B"/>
    <w:pPr>
      <w:keepNext/>
    </w:pPr>
    <w:rPr>
      <w:b/>
    </w:rPr>
  </w:style>
  <w:style w:type="character" w:customStyle="1" w:styleId="SchHeading3Char">
    <w:name w:val="Sch Heading 3 Char"/>
    <w:basedOn w:val="SchNumber3Char"/>
    <w:link w:val="SchHeading3"/>
    <w:uiPriority w:val="12"/>
    <w:rsid w:val="00665A5B"/>
    <w:rPr>
      <w:rFonts w:eastAsia="Arial Unicode MS"/>
      <w:b/>
    </w:rPr>
  </w:style>
  <w:style w:type="paragraph" w:customStyle="1" w:styleId="Parts">
    <w:name w:val="Parts"/>
    <w:basedOn w:val="Body1"/>
    <w:next w:val="Body1"/>
    <w:uiPriority w:val="12"/>
    <w:qFormat/>
    <w:rsid w:val="00665A5B"/>
    <w:pPr>
      <w:keepNext/>
      <w:jc w:val="center"/>
    </w:pPr>
    <w:rPr>
      <w:b/>
    </w:rPr>
  </w:style>
  <w:style w:type="paragraph" w:styleId="List4">
    <w:name w:val="List 4"/>
    <w:basedOn w:val="Normal"/>
    <w:uiPriority w:val="29"/>
    <w:rsid w:val="00F95754"/>
    <w:pPr>
      <w:ind w:left="1132" w:hanging="283"/>
      <w:contextualSpacing/>
    </w:pPr>
  </w:style>
  <w:style w:type="paragraph" w:customStyle="1" w:styleId="Address2">
    <w:name w:val="Address 2"/>
    <w:basedOn w:val="Normal"/>
    <w:uiPriority w:val="17"/>
    <w:rsid w:val="00D67411"/>
    <w:rPr>
      <w:rFonts w:eastAsia="Times New Roman"/>
      <w:sz w:val="14"/>
    </w:rPr>
  </w:style>
  <w:style w:type="paragraph" w:customStyle="1" w:styleId="address3">
    <w:name w:val="address 3"/>
    <w:basedOn w:val="Address2"/>
    <w:uiPriority w:val="17"/>
    <w:rsid w:val="00D67411"/>
    <w:pPr>
      <w:spacing w:after="120" w:line="240" w:lineRule="auto"/>
    </w:pPr>
    <w:rPr>
      <w:sz w:val="12"/>
    </w:rPr>
  </w:style>
  <w:style w:type="paragraph" w:customStyle="1" w:styleId="SchHeading1Restart">
    <w:name w:val="Sch Heading 1 Restart"/>
    <w:basedOn w:val="SchHeading1"/>
    <w:next w:val="Body2"/>
    <w:link w:val="SchHeading1RestartChar"/>
    <w:uiPriority w:val="13"/>
    <w:semiHidden/>
    <w:rsid w:val="00AD2466"/>
    <w:pPr>
      <w:numPr>
        <w:ilvl w:val="0"/>
        <w:numId w:val="0"/>
      </w:numPr>
      <w:tabs>
        <w:tab w:val="left" w:pos="709"/>
      </w:tabs>
    </w:pPr>
  </w:style>
  <w:style w:type="character" w:customStyle="1" w:styleId="SchHeading1RestartChar">
    <w:name w:val="Sch Heading 1 Restart Char"/>
    <w:basedOn w:val="SchHeading1Char"/>
    <w:link w:val="SchHeading1Restart"/>
    <w:uiPriority w:val="13"/>
    <w:semiHidden/>
    <w:rsid w:val="00AD2466"/>
    <w:rPr>
      <w:rFonts w:eastAsia="Arial Unicode MS"/>
      <w:b/>
      <w:smallCaps/>
    </w:rPr>
  </w:style>
  <w:style w:type="paragraph" w:customStyle="1" w:styleId="SchHeading2Restart">
    <w:name w:val="Sch Heading 2 Restart"/>
    <w:basedOn w:val="SchHeading2"/>
    <w:next w:val="Body2"/>
    <w:link w:val="SchHeading2RestartChar"/>
    <w:uiPriority w:val="13"/>
    <w:semiHidden/>
    <w:rsid w:val="00AD2466"/>
    <w:pPr>
      <w:numPr>
        <w:ilvl w:val="0"/>
        <w:numId w:val="0"/>
      </w:numPr>
      <w:tabs>
        <w:tab w:val="left" w:pos="709"/>
      </w:tabs>
    </w:pPr>
  </w:style>
  <w:style w:type="character" w:customStyle="1" w:styleId="SchHeading2RestartChar">
    <w:name w:val="Sch Heading 2 Restart Char"/>
    <w:basedOn w:val="SchHeading2Char"/>
    <w:link w:val="SchHeading2Restart"/>
    <w:uiPriority w:val="13"/>
    <w:semiHidden/>
    <w:rsid w:val="00AD2466"/>
    <w:rPr>
      <w:rFonts w:eastAsia="Arial Unicode MS"/>
      <w:b/>
    </w:rPr>
  </w:style>
  <w:style w:type="paragraph" w:customStyle="1" w:styleId="SchHeading3Restart">
    <w:name w:val="Sch Heading 3 Restart"/>
    <w:basedOn w:val="SchHeading3"/>
    <w:next w:val="Body3"/>
    <w:link w:val="SchHeading3RestartChar"/>
    <w:uiPriority w:val="13"/>
    <w:semiHidden/>
    <w:rsid w:val="00AD2466"/>
    <w:pPr>
      <w:numPr>
        <w:ilvl w:val="0"/>
        <w:numId w:val="0"/>
      </w:numPr>
      <w:tabs>
        <w:tab w:val="left" w:pos="1418"/>
      </w:tabs>
    </w:pPr>
  </w:style>
  <w:style w:type="character" w:customStyle="1" w:styleId="SchHeading3RestartChar">
    <w:name w:val="Sch Heading 3 Restart Char"/>
    <w:basedOn w:val="SchHeading3Char"/>
    <w:link w:val="SchHeading3Restart"/>
    <w:uiPriority w:val="13"/>
    <w:semiHidden/>
    <w:rsid w:val="00AD2466"/>
    <w:rPr>
      <w:rFonts w:eastAsia="Arial Unicode MS"/>
      <w:b/>
    </w:rPr>
  </w:style>
  <w:style w:type="paragraph" w:customStyle="1" w:styleId="CentredHeadingCover">
    <w:name w:val="Centred Heading Cover"/>
    <w:basedOn w:val="CentredHeading"/>
    <w:uiPriority w:val="13"/>
    <w:semiHidden/>
    <w:unhideWhenUsed/>
    <w:rsid w:val="00504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HoganLovells">
  <a:themeElements>
    <a:clrScheme name="HL_Colours">
      <a:dk1>
        <a:srgbClr val="4D5357"/>
      </a:dk1>
      <a:lt1>
        <a:srgbClr val="FFFFFF"/>
      </a:lt1>
      <a:dk2>
        <a:srgbClr val="2C5E4F"/>
      </a:dk2>
      <a:lt2>
        <a:srgbClr val="BED600"/>
      </a:lt2>
      <a:accent1>
        <a:srgbClr val="557630"/>
      </a:accent1>
      <a:accent2>
        <a:srgbClr val="AAA38E"/>
      </a:accent2>
      <a:accent3>
        <a:srgbClr val="4B2942"/>
      </a:accent3>
      <a:accent4>
        <a:srgbClr val="5482AB"/>
      </a:accent4>
      <a:accent5>
        <a:srgbClr val="BEC5C2"/>
      </a:accent5>
      <a:accent6>
        <a:srgbClr val="58A618"/>
      </a:accent6>
      <a:hlink>
        <a:srgbClr val="C50084"/>
      </a:hlink>
      <a:folHlink>
        <a:srgbClr val="FFA100"/>
      </a:folHlink>
    </a:clrScheme>
    <a:fontScheme name="HL_Theme">
      <a:majorFont>
        <a:latin typeface="Calibri"/>
        <a:ea typeface="Arial"/>
        <a:cs typeface="Arial"/>
      </a:majorFont>
      <a:minorFont>
        <a:latin typeface="Georgia"/>
        <a:ea typeface="Georgia"/>
        <a:cs typeface="Georgia"/>
      </a:minorFont>
    </a:fontScheme>
    <a:fmtScheme name="New Theme">
      <a:fillStyleLst>
        <a:solidFill>
          <a:schemeClr val="phClr"/>
        </a:solidFill>
        <a:gradFill rotWithShape="1">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gradFill>
        <a:gradFill rotWithShape="1">
          <a:gsLst>
            <a:gs pos="0">
              <a:schemeClr val="phClr">
                <a:tint val="80000"/>
              </a:schemeClr>
            </a:gs>
            <a:gs pos="100000">
              <a:schemeClr val="phClr">
                <a:shade val="30000"/>
              </a:schemeClr>
            </a:gs>
          </a:gsLst>
          <a:path path="circle">
            <a:fillToRect l="50000" t="50000" r="50000" b="50000"/>
          </a:path>
        </a:gradFill>
      </a:fillStyleLst>
      <a:lnStyleLst>
        <a:ln w="12700" cap="rnd" cmpd="sng" algn="ctr">
          <a:solidFill>
            <a:schemeClr val="phClr"/>
          </a:solidFill>
          <a:prstDash val="solid"/>
        </a:ln>
        <a:ln w="12700" cap="rnd" cmpd="sng" algn="ctr">
          <a:solidFill>
            <a:schemeClr val="phClr"/>
          </a:solidFill>
          <a:prstDash val="solid"/>
        </a:ln>
        <a:ln w="12700" cap="rnd" cmpd="sng" algn="ctr">
          <a:solidFill>
            <a:schemeClr val="phClr"/>
          </a:solidFill>
          <a:prstDash val="solid"/>
        </a:ln>
      </a:lnStyleLst>
      <a:effectStyleLst>
        <a:effectStyle>
          <a:effectLst/>
          <a:scene3d>
            <a:camera prst="orthographicFront" fov="0">
              <a:rot lat="0" lon="0" rev="0"/>
            </a:camera>
            <a:lightRig rig="threePt" dir="tl"/>
          </a:scene3d>
          <a:sp3d>
            <a:bevelT w="0" h="0"/>
          </a:sp3d>
        </a:effectStyle>
        <a:effectStyle>
          <a:effectLst/>
          <a:scene3d>
            <a:camera prst="orthographicFront" fov="0">
              <a:rot lat="0" lon="0" rev="0"/>
            </a:camera>
            <a:lightRig rig="threePt" dir="tl"/>
          </a:scene3d>
          <a:sp3d>
            <a:bevelT w="0" h="0"/>
          </a:sp3d>
        </a:effectStyle>
        <a:effectStyle>
          <a:effectLst/>
          <a:scene3d>
            <a:camera prst="orthographicFront" fov="0">
              <a:rot lat="0" lon="0" rev="0"/>
            </a:camera>
            <a:lightRig rig="threePt" dir="tl"/>
          </a:scene3d>
          <a:sp3d>
            <a:bevelT w="0" h="0"/>
          </a:sp3d>
        </a:effectStyle>
      </a:effectStyleLst>
      <a:bgFillStyleLst>
        <a:solidFill>
          <a:schemeClr val="phClr"/>
        </a:solidFill>
        <a:gradFill rotWithShape="1">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gradFill>
        <a:gradFill rotWithShape="1">
          <a:gsLst>
            <a:gs pos="0">
              <a:schemeClr val="phClr">
                <a:tint val="80000"/>
              </a:schemeClr>
            </a:gs>
            <a:gs pos="100000">
              <a:schemeClr val="phClr">
                <a:shade val="30000"/>
              </a:schemeClr>
            </a:gs>
          </a:gsLst>
          <a:path path="circle">
            <a:fillToRect l="50000" t="50000" r="50000" b="50000"/>
          </a:path>
        </a:gradFill>
      </a:bgFillStyleLst>
    </a:fmtScheme>
  </a:themeElements>
  <a:objectDefaults>
    <a:spDef>
      <a:spPr>
        <a:solidFill>
          <a:schemeClr val="tx1"/>
        </a:solidFill>
        <a:ln>
          <a:noFill/>
        </a:ln>
        <a:effectLst/>
      </a:spPr>
      <a:bodyPr rtlCol="0" anchor="ctr"/>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ustomdocument xmlns="http://hoganlovells.com/word2010/custom">
  <fields>
    <field id="Author" dmfield="AUTHOR_ID" type="string">1014558</field>
    <field id="AuthorName" dmfield="" type="string"/>
    <field id="ClientNumber" dmfield="CLIENT_ID" type="string"/>
    <field id="MatterNumber" dmfield="MATTER_ID" type="string"/>
    <field id="DocumentType" dmfield="TYPE_ID" type="string">OTH</field>
    <field id="DocumentTitle" dmfield="DOCNAME" type="string"/>
    <field id="DocumentNumber" dmfield="DOCNUM" type="string">4146-5655-2037</field>
    <field id="Library" dmfield="" type="string">NG-LO1GCKS7</field>
    <field id="Version" dmfield="" type="string">1</field>
    <field id="Language" dmfield="" type="string">English(UK)</field>
    <field id="Office" dmfield="" type="string">London</field>
    <field id="PaperTypeFirst" dmfield="" type="string"/>
    <field id="PaperTypeCont" dmfield="" type="string"/>
    <field id="ExcludeFooterUpdate" dmfield="" type="string">False</field>
    <field id="FirmName" dmfield="" type="">Hogan Lovells</field>
    <field id="FirstPageHeaded" dmfield="" type="">False</field>
    <field id="ContPage" dmfield="" type="">False</field>
    <field id="DraftSpacing" dmfield="" type="">False</field>
    <field id="LtrDocNo" dmfield="" type=""/>
    <field id="DocID" dmfield="" type="">\\1014558 4146-5655-2037 v1</field>
    <field id="FooterType" dmfield="" type="">Continuation Page Footer</field>
  </fields>
</customdocument>
</file>

<file path=customXml/item3.xml><?xml version="1.0" encoding="utf-8"?>
<properties xmlns="http://www.imanage.com/work/xmlschema">
  <documentid>GBR02!116665139.1</documentid>
  <senderid>MW11873</senderid>
  <senderemail>MATTHEW.WEAL@HSF.COM</senderemail>
  <lastmodified>2026-02-12T10:31:00.0000000+00:00</lastmodified>
  <database>GBR02</database>
</properties>
</file>

<file path=customXml/item4.xml><?xml version="1.0" encoding="utf-8"?>
<hs:root xmlns:hs="urn:HerbertSmith.Office.Word.Global">
  <iManRef>GBR02/116665139_1</iManRef>
</hs:root>
</file>

<file path=customXml/itemProps1.xml><?xml version="1.0" encoding="utf-8"?>
<ds:datastoreItem xmlns:ds="http://schemas.openxmlformats.org/officeDocument/2006/customXml" ds:itemID="{845637F1-FA99-44CB-BA25-9070F153C099}">
  <ds:schemaRefs>
    <ds:schemaRef ds:uri="http://schemas.openxmlformats.org/officeDocument/2006/bibliography"/>
  </ds:schemaRefs>
</ds:datastoreItem>
</file>

<file path=customXml/itemProps2.xml><?xml version="1.0" encoding="utf-8"?>
<ds:datastoreItem xmlns:ds="http://schemas.openxmlformats.org/officeDocument/2006/customXml" ds:itemID="{D14155B8-47EB-43EE-A958-0E2701544FBB}">
  <ds:schemaRefs>
    <ds:schemaRef ds:uri="http://hoganlovells.com/word2010/custom"/>
  </ds:schemaRefs>
</ds:datastoreItem>
</file>

<file path=customXml/itemProps3.xml><?xml version="1.0" encoding="utf-8"?>
<ds:datastoreItem xmlns:ds="http://schemas.openxmlformats.org/officeDocument/2006/customXml" ds:itemID="{34041760-1580-4C7A-98E0-4CDA124D460C}">
  <ds:schemaRefs>
    <ds:schemaRef ds:uri="http://www.imanage.com/work/xmlschema"/>
  </ds:schemaRefs>
</ds:datastoreItem>
</file>

<file path=customXml/itemProps4.xml><?xml version="1.0" encoding="utf-8"?>
<ds:datastoreItem xmlns:ds="http://schemas.openxmlformats.org/officeDocument/2006/customXml" ds:itemID="{757F7A50-909F-4C9C-BC36-9B696B52CEF4}">
  <ds:schemaRefs>
    <ds:schemaRef ds:uri="urn:HerbertSmith.Office.Word.Globa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4103</Words>
  <Characters>22696</Characters>
  <Application>Microsoft Office Word</Application>
  <DocSecurity>0</DocSecurity>
  <Lines>526</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Acumen Support</cp:lastModifiedBy>
  <cp:revision>2</cp:revision>
  <dcterms:created xsi:type="dcterms:W3CDTF">2026-02-26T15:52:00Z</dcterms:created>
  <dcterms:modified xsi:type="dcterms:W3CDTF">2026-02-26T15:52:00Z</dcterms:modified>
</cp:coreProperties>
</file>